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pacing w:after="0"/>
        <w:rPr>
          <w:sz w:val="22"/>
          <w:szCs w:val="22"/>
          <w:lang w:eastAsia="zh-CN"/>
        </w:rPr>
      </w:pPr>
      <w:bookmarkStart w:id="0" w:name="_Ref494746248"/>
      <w:r>
        <w:rPr>
          <w:rFonts w:ascii="Arial" w:hAnsi="Arial" w:cs="Arial"/>
          <w:b/>
          <w:sz w:val="22"/>
          <w:szCs w:val="22"/>
        </w:rPr>
        <w:t xml:space="preserve">3GPP TSG RAN WG1 Meeting </w:t>
      </w:r>
      <w:r>
        <w:rPr>
          <w:rFonts w:ascii="Arial" w:hAnsi="Arial" w:cs="Arial"/>
          <w:b/>
          <w:sz w:val="22"/>
          <w:szCs w:val="22"/>
          <w:lang w:eastAsia="zh-CN"/>
        </w:rPr>
        <w:t>#98bis</w:t>
      </w:r>
      <w:r>
        <w:rPr>
          <w:rFonts w:ascii="Arial" w:hAnsi="Arial" w:cs="Arial"/>
          <w:b/>
          <w:sz w:val="22"/>
          <w:szCs w:val="22"/>
        </w:rPr>
        <w:tab/>
      </w:r>
      <w:r>
        <w:rPr>
          <w:rFonts w:ascii="Arial" w:hAnsi="Arial" w:cs="Arial"/>
          <w:b/>
          <w:sz w:val="22"/>
          <w:szCs w:val="22"/>
        </w:rPr>
        <w:t>R1-1910108</w:t>
      </w:r>
    </w:p>
    <w:p>
      <w:pPr>
        <w:tabs>
          <w:tab w:val="right" w:pos="9630"/>
        </w:tabs>
        <w:spacing w:after="0"/>
        <w:rPr>
          <w:rFonts w:ascii="Arial" w:hAnsi="Arial" w:cs="Arial"/>
          <w:b/>
          <w:sz w:val="22"/>
          <w:szCs w:val="22"/>
        </w:rPr>
      </w:pPr>
      <w:r>
        <w:rPr>
          <w:rFonts w:ascii="Arial" w:hAnsi="Arial" w:cs="Arial"/>
          <w:b/>
          <w:sz w:val="22"/>
          <w:szCs w:val="22"/>
          <w:lang w:eastAsia="zh-CN"/>
        </w:rPr>
        <w:t>Chongqing, China, 14</w:t>
      </w:r>
      <w:r>
        <w:rPr>
          <w:rFonts w:ascii="Arial" w:hAnsi="Arial" w:cs="Arial"/>
          <w:b/>
          <w:sz w:val="22"/>
          <w:szCs w:val="22"/>
          <w:vertAlign w:val="superscript"/>
          <w:lang w:eastAsia="zh-CN"/>
        </w:rPr>
        <w:t>th</w:t>
      </w:r>
      <w:r>
        <w:rPr>
          <w:rFonts w:ascii="Arial" w:hAnsi="Arial" w:cs="Arial"/>
          <w:b/>
          <w:sz w:val="22"/>
          <w:szCs w:val="22"/>
        </w:rPr>
        <w:t xml:space="preserve"> – 20</w:t>
      </w:r>
      <w:r>
        <w:rPr>
          <w:rFonts w:ascii="Arial" w:hAnsi="Arial" w:cs="Arial"/>
          <w:b/>
          <w:sz w:val="22"/>
          <w:szCs w:val="22"/>
          <w:vertAlign w:val="superscript"/>
          <w:lang w:eastAsia="zh-CN"/>
        </w:rPr>
        <w:t xml:space="preserve">th </w:t>
      </w:r>
      <w:r>
        <w:rPr>
          <w:rFonts w:ascii="Arial" w:hAnsi="Arial" w:cs="Arial"/>
          <w:b/>
          <w:sz w:val="22"/>
          <w:szCs w:val="22"/>
          <w:lang w:eastAsia="zh-CN"/>
        </w:rPr>
        <w:t>August,</w:t>
      </w:r>
      <w:r>
        <w:rPr>
          <w:rFonts w:ascii="Arial" w:hAnsi="Arial" w:cs="Arial"/>
          <w:b/>
          <w:sz w:val="22"/>
          <w:szCs w:val="22"/>
        </w:rPr>
        <w:t xml:space="preserve"> 2019</w:t>
      </w:r>
      <w:r>
        <w:rPr>
          <w:rFonts w:ascii="Arial" w:hAnsi="Arial" w:cs="Arial"/>
          <w:b/>
          <w:sz w:val="22"/>
          <w:szCs w:val="22"/>
        </w:rPr>
        <w:tab/>
      </w:r>
    </w:p>
    <w:p>
      <w:pPr>
        <w:pStyle w:val="38"/>
        <w:jc w:val="both"/>
      </w:pPr>
    </w:p>
    <w:p>
      <w:pPr>
        <w:tabs>
          <w:tab w:val="left" w:pos="1985"/>
        </w:tabs>
        <w:spacing w:after="0"/>
        <w:rPr>
          <w:rFonts w:ascii="Arial" w:hAnsi="Arial"/>
          <w:b/>
        </w:rPr>
      </w:pPr>
      <w:r>
        <w:rPr>
          <w:rFonts w:ascii="Arial" w:hAnsi="Arial"/>
          <w:b/>
        </w:rPr>
        <w:t xml:space="preserve">Source: </w:t>
      </w:r>
      <w:r>
        <w:rPr>
          <w:rFonts w:ascii="Arial" w:hAnsi="Arial"/>
          <w:b/>
        </w:rPr>
        <w:tab/>
      </w:r>
      <w:r>
        <w:rPr>
          <w:rFonts w:ascii="Arial" w:hAnsi="Arial"/>
          <w:b/>
        </w:rPr>
        <w:t>ZTE Corporation</w:t>
      </w:r>
    </w:p>
    <w:p>
      <w:pPr>
        <w:spacing w:after="0"/>
        <w:ind w:left="1988" w:hanging="1988"/>
        <w:rPr>
          <w:rFonts w:ascii="Arial" w:hAnsi="Arial"/>
          <w:b/>
          <w:lang w:eastAsia="zh-CN"/>
        </w:rPr>
      </w:pPr>
      <w:r>
        <w:rPr>
          <w:rFonts w:ascii="Arial" w:hAnsi="Arial"/>
          <w:b/>
        </w:rPr>
        <w:t xml:space="preserve">Title: </w:t>
      </w:r>
      <w:r>
        <w:rPr>
          <w:rFonts w:ascii="Arial" w:hAnsi="Arial"/>
          <w:b/>
        </w:rPr>
        <w:tab/>
      </w:r>
      <w:r>
        <w:rPr>
          <w:rFonts w:ascii="Arial" w:hAnsi="Arial"/>
          <w:b/>
        </w:rPr>
        <w:t>Discussion on single Tx switched uplink solution for EN-DC</w:t>
      </w:r>
    </w:p>
    <w:p>
      <w:pPr>
        <w:tabs>
          <w:tab w:val="left" w:pos="1985"/>
        </w:tabs>
        <w:spacing w:after="0"/>
        <w:rPr>
          <w:rFonts w:ascii="Arial" w:hAnsi="Arial"/>
          <w:b/>
          <w:lang w:eastAsia="zh-CN"/>
        </w:rPr>
      </w:pPr>
      <w:r>
        <w:rPr>
          <w:rFonts w:ascii="Arial" w:hAnsi="Arial"/>
          <w:b/>
        </w:rPr>
        <w:t>Agenda item:</w:t>
      </w:r>
      <w:r>
        <w:rPr>
          <w:rFonts w:ascii="Arial" w:hAnsi="Arial"/>
          <w:b/>
        </w:rPr>
        <w:tab/>
      </w:r>
      <w:r>
        <w:rPr>
          <w:rFonts w:ascii="Arial" w:hAnsi="Arial"/>
          <w:b/>
        </w:rPr>
        <w:t>7.2.13.</w:t>
      </w:r>
      <w:r>
        <w:rPr>
          <w:rFonts w:ascii="Arial" w:hAnsi="Arial"/>
          <w:b/>
          <w:lang w:eastAsia="zh-CN"/>
        </w:rPr>
        <w:t>2</w:t>
      </w:r>
    </w:p>
    <w:p>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pPr>
        <w:pStyle w:val="2"/>
        <w:textAlignment w:val="auto"/>
      </w:pPr>
      <w:bookmarkStart w:id="2" w:name="_Ref4817"/>
      <w:r>
        <w:t>Introduction</w:t>
      </w:r>
      <w:bookmarkEnd w:id="0"/>
      <w:bookmarkEnd w:id="2"/>
    </w:p>
    <w:p>
      <w:pPr>
        <w:rPr>
          <w:lang w:val="en-GB" w:eastAsia="zh-CN"/>
        </w:rPr>
      </w:pPr>
      <w:r>
        <w:rPr>
          <w:rFonts w:hint="eastAsia"/>
          <w:lang w:val="en-GB" w:eastAsia="zh-CN"/>
        </w:rPr>
        <w:t>D</w:t>
      </w:r>
      <w:r>
        <w:rPr>
          <w:lang w:val="en-GB" w:eastAsia="zh-CN"/>
        </w:rPr>
        <w:t xml:space="preserve">uring RAN#84 meeting, the objectives of </w:t>
      </w:r>
      <w:r>
        <w:rPr>
          <w:i/>
          <w:lang w:val="en-GB" w:eastAsia="zh-CN"/>
        </w:rPr>
        <w:t>LTE_NR_DC_CA_enh-Core</w:t>
      </w:r>
      <w:r>
        <w:rPr>
          <w:lang w:val="en-GB" w:eastAsia="zh-CN"/>
        </w:rPr>
        <w:t xml:space="preserve"> WI have been updated to enable the Rel-15 single Tx mechanisms to apply to dual uplink (dual Tx) EN-DC.</w:t>
      </w:r>
    </w:p>
    <w:tbl>
      <w:tblPr>
        <w:tblStyle w:val="59"/>
        <w:tblW w:w="9630" w:type="dxa"/>
        <w:tblInd w:w="12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30" w:type="dxa"/>
          </w:tcPr>
          <w:p>
            <w:pPr>
              <w:spacing w:before="0" w:after="0" w:line="240" w:lineRule="auto"/>
              <w:rPr>
                <w:rFonts w:ascii="New York" w:hAnsi="New York"/>
                <w:bCs/>
              </w:rPr>
            </w:pPr>
            <w:r>
              <w:rPr>
                <w:rFonts w:ascii="New York" w:hAnsi="New York"/>
                <w:bCs/>
              </w:rPr>
              <w:t>6. Study and, if found beneficial over the existing single Tx switched uplink solution, specify enhancements to single Tx switched uplink solution for EN-DC, such as allowing all DL and UL subframes for data transmission for both NR and LTE. [RAN1].</w:t>
            </w:r>
          </w:p>
          <w:p>
            <w:pPr>
              <w:spacing w:before="0" w:after="0" w:line="240" w:lineRule="auto"/>
              <w:ind w:left="200" w:leftChars="100"/>
              <w:rPr>
                <w:rFonts w:ascii="New York" w:hAnsi="New York"/>
                <w:bCs/>
              </w:rPr>
            </w:pPr>
            <w:r>
              <w:rPr>
                <w:rFonts w:ascii="New York" w:hAnsi="New York"/>
                <w:bCs/>
              </w:rPr>
              <w:t>Note: UE in single Tx switched uplink mode is not expected to be scheduled simultaneous transmission on MCG and SCG</w:t>
            </w:r>
          </w:p>
          <w:p>
            <w:pPr>
              <w:spacing w:before="0" w:after="0" w:line="240" w:lineRule="auto"/>
              <w:rPr>
                <w:rFonts w:ascii="New York" w:hAnsi="New York"/>
                <w:bCs/>
              </w:rPr>
            </w:pPr>
          </w:p>
          <w:p>
            <w:pPr>
              <w:spacing w:before="0" w:after="0" w:line="240" w:lineRule="auto"/>
              <w:rPr>
                <w:rFonts w:ascii="New York" w:hAnsi="New York"/>
                <w:bCs/>
              </w:rPr>
            </w:pPr>
            <w:r>
              <w:rPr>
                <w:rFonts w:ascii="New York" w:hAnsi="New York"/>
                <w:bCs/>
              </w:rPr>
              <w:t>7. Enable the Release 15 behaviour of “</w:t>
            </w:r>
            <w:r>
              <w:rPr>
                <w:rFonts w:ascii="New York" w:hAnsi="New York"/>
                <w:color w:val="4472C4"/>
              </w:rPr>
              <w:t>DL HARQ timing for FDD Scell for LTE TDD-FDD CA with TDD Pcell, applied to FDD Pcell”</w:t>
            </w:r>
            <w:r>
              <w:rPr>
                <w:rFonts w:ascii="New York" w:hAnsi="New York"/>
                <w:bCs/>
              </w:rPr>
              <w:t xml:space="preserve"> to apply to dual uplink EN-DC, possibly including any conclusions on the previous objective (6) for LTE FDD Pcells [RAN1].</w:t>
            </w:r>
          </w:p>
        </w:tc>
      </w:tr>
    </w:tbl>
    <w:p>
      <w:pPr>
        <w:rPr>
          <w:lang w:val="en-GB"/>
        </w:rPr>
      </w:pPr>
    </w:p>
    <w:p>
      <w:pPr>
        <w:rPr>
          <w:lang w:val="en-GB" w:eastAsia="zh-CN"/>
        </w:rPr>
      </w:pPr>
      <w:r>
        <w:rPr>
          <w:rFonts w:hint="eastAsia"/>
          <w:lang w:val="en-GB" w:eastAsia="zh-CN"/>
        </w:rPr>
        <w:t>D</w:t>
      </w:r>
      <w:r>
        <w:rPr>
          <w:lang w:val="en-GB" w:eastAsia="zh-CN"/>
        </w:rPr>
        <w:t xml:space="preserve">uring RAN1#98 meeting </w:t>
      </w:r>
      <w:r>
        <w:rPr>
          <w:lang w:val="en-GB" w:eastAsia="zh-CN"/>
        </w:rPr>
        <w:fldChar w:fldCharType="begin"/>
      </w:r>
      <w:r>
        <w:rPr>
          <w:lang w:val="en-GB" w:eastAsia="zh-CN"/>
        </w:rPr>
        <w:instrText xml:space="preserve"> REF _Ref19801165 \n \h </w:instrText>
      </w:r>
      <w:r>
        <w:rPr>
          <w:lang w:val="en-GB" w:eastAsia="zh-CN"/>
        </w:rPr>
        <w:fldChar w:fldCharType="separate"/>
      </w:r>
      <w:r>
        <w:rPr>
          <w:lang w:val="en-GB" w:eastAsia="zh-CN"/>
        </w:rPr>
        <w:t>[1]</w:t>
      </w:r>
      <w:r>
        <w:rPr>
          <w:lang w:val="en-GB" w:eastAsia="zh-CN"/>
        </w:rPr>
        <w:fldChar w:fldCharType="end"/>
      </w:r>
      <w:r>
        <w:rPr>
          <w:lang w:val="en-GB" w:eastAsia="zh-CN"/>
        </w:rPr>
        <w:t>, as shown below, quite a few progress has been made for SUO. One email discussion on the PUCCH formats for SUO in EN-DC with LTE TDD PCell was kicked off after RAN1#98. However, companies can’t converge on either solution. Further discussion is needed.</w:t>
      </w:r>
    </w:p>
    <w:tbl>
      <w:tblPr>
        <w:tblStyle w:val="59"/>
        <w:tblW w:w="96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28" w:type="dxa"/>
          </w:tcPr>
          <w:p>
            <w:pPr>
              <w:spacing w:before="0" w:after="0" w:line="240" w:lineRule="auto"/>
              <w:rPr>
                <w:rFonts w:ascii="New York" w:hAnsi="New York"/>
                <w:lang w:eastAsia="zh-CN"/>
              </w:rPr>
            </w:pPr>
            <w:r>
              <w:rPr>
                <w:rFonts w:ascii="New York" w:hAnsi="New York"/>
                <w:highlight w:val="green"/>
                <w:lang w:eastAsia="zh-CN"/>
              </w:rPr>
              <w:t>Agreements</w:t>
            </w:r>
            <w:r>
              <w:rPr>
                <w:rFonts w:ascii="New York" w:hAnsi="New York"/>
                <w:lang w:eastAsia="zh-CN"/>
              </w:rPr>
              <w:t>:</w:t>
            </w:r>
          </w:p>
          <w:p>
            <w:pPr>
              <w:numPr>
                <w:ilvl w:val="0"/>
                <w:numId w:val="9"/>
              </w:numPr>
              <w:spacing w:before="0" w:after="0" w:line="240" w:lineRule="auto"/>
              <w:rPr>
                <w:rFonts w:ascii="New York" w:hAnsi="New York" w:eastAsia="MS Mincho"/>
              </w:rPr>
            </w:pPr>
            <w:r>
              <w:rPr>
                <w:rFonts w:ascii="New York" w:hAnsi="New York" w:eastAsia="MS Mincho"/>
              </w:rPr>
              <w:t xml:space="preserve">Regarding the FFS part (in </w:t>
            </w:r>
            <w:r>
              <w:rPr>
                <w:rFonts w:ascii="New York" w:hAnsi="New York" w:eastAsia="MS Mincho"/>
                <w:color w:val="FF0000"/>
                <w:u w:val="single"/>
              </w:rPr>
              <w:t>change marks</w:t>
            </w:r>
            <w:r>
              <w:rPr>
                <w:rFonts w:ascii="New York" w:hAnsi="New York" w:eastAsia="MS Mincho"/>
              </w:rPr>
              <w:t>) in the agreement from RAN1 #96bis:</w:t>
            </w:r>
          </w:p>
          <w:p>
            <w:pPr>
              <w:spacing w:before="0" w:after="0" w:line="240" w:lineRule="auto"/>
              <w:ind w:left="1008"/>
              <w:rPr>
                <w:rFonts w:ascii="New York" w:hAnsi="New York" w:eastAsia="MS Mincho"/>
              </w:rPr>
            </w:pPr>
            <w:r>
              <w:rPr>
                <w:rFonts w:ascii="New York" w:hAnsi="New York" w:eastAsia="MS Mincho"/>
              </w:rPr>
              <w:t>For DL HARQ timing corresponding to the DL-reference UL/DL configuration used in single Tx in EN-DC with TDD Pcell, the following is agreed:</w:t>
            </w:r>
          </w:p>
          <w:p>
            <w:pPr>
              <w:numPr>
                <w:ilvl w:val="0"/>
                <w:numId w:val="10"/>
              </w:numPr>
              <w:tabs>
                <w:tab w:val="left" w:pos="1656"/>
                <w:tab w:val="clear" w:pos="648"/>
              </w:tabs>
              <w:spacing w:before="0" w:after="0" w:line="240" w:lineRule="auto"/>
              <w:ind w:left="1656"/>
              <w:rPr>
                <w:rFonts w:ascii="New York" w:hAnsi="New York" w:eastAsia="MS Mincho"/>
              </w:rPr>
            </w:pPr>
            <w:r>
              <w:rPr>
                <w:rFonts w:ascii="New York" w:hAnsi="New York" w:eastAsia="MS Mincho"/>
              </w:rPr>
              <w:t>For LTE DL CA, the SCell uses the same DL-reference UL/DL configuration as the PCell (already agreed in RAN1 #96bis)</w:t>
            </w:r>
          </w:p>
          <w:p>
            <w:pPr>
              <w:numPr>
                <w:ilvl w:val="1"/>
                <w:numId w:val="10"/>
              </w:numPr>
              <w:tabs>
                <w:tab w:val="left" w:pos="2376"/>
                <w:tab w:val="clear" w:pos="1368"/>
              </w:tabs>
              <w:spacing w:before="0" w:after="0" w:line="240" w:lineRule="auto"/>
              <w:ind w:left="2376"/>
              <w:rPr>
                <w:rFonts w:ascii="New York" w:hAnsi="New York" w:eastAsia="MS Mincho"/>
                <w:color w:val="FF0000"/>
                <w:u w:val="single"/>
              </w:rPr>
            </w:pPr>
            <w:r>
              <w:rPr>
                <w:rFonts w:ascii="New York" w:hAnsi="New York" w:eastAsia="MS Mincho"/>
                <w:color w:val="FF0000"/>
                <w:u w:val="single"/>
              </w:rPr>
              <w:t>For the LTE TDD SCell with different UL/DL configuration (as in SIB1) as the TDD PCell: use the PDSCH ACK timeline for SCell as in case of LTE FDD-TDD CA with LTE TDD PCell (i.e. Table 10.1.3A-1 in 36.213)</w:t>
            </w:r>
          </w:p>
          <w:p>
            <w:pPr>
              <w:numPr>
                <w:ilvl w:val="1"/>
                <w:numId w:val="10"/>
              </w:numPr>
              <w:tabs>
                <w:tab w:val="left" w:pos="2376"/>
                <w:tab w:val="clear" w:pos="1368"/>
              </w:tabs>
              <w:spacing w:before="0" w:after="0" w:line="240" w:lineRule="auto"/>
              <w:ind w:left="2376"/>
              <w:rPr>
                <w:rFonts w:ascii="New York" w:hAnsi="New York" w:eastAsia="MS Mincho"/>
                <w:color w:val="FF0000"/>
                <w:u w:val="single"/>
              </w:rPr>
            </w:pPr>
            <w:r>
              <w:rPr>
                <w:rFonts w:ascii="New York" w:hAnsi="New York" w:eastAsia="MS Mincho"/>
                <w:color w:val="FF0000"/>
                <w:u w:val="single"/>
              </w:rPr>
              <w:t>For the LTE TDD SCell with the same UL/DL configuration (as in SIB1) as the TDD PCell: use the same PDSCH ACK timeline as the LTE TDD PCell (i.e. Table 10.1.3.1-1 in 36.213)</w:t>
            </w:r>
          </w:p>
          <w:p>
            <w:pPr>
              <w:spacing w:before="0" w:after="0" w:line="240" w:lineRule="auto"/>
              <w:rPr>
                <w:rFonts w:ascii="New York" w:hAnsi="New York"/>
                <w:lang w:eastAsia="zh-CN"/>
              </w:rPr>
            </w:pPr>
          </w:p>
          <w:p>
            <w:pPr>
              <w:numPr>
                <w:ilvl w:val="0"/>
                <w:numId w:val="9"/>
              </w:numPr>
              <w:overflowPunct/>
              <w:autoSpaceDE/>
              <w:autoSpaceDN/>
              <w:adjustRightInd/>
              <w:spacing w:before="0" w:after="0" w:line="240" w:lineRule="auto"/>
              <w:jc w:val="left"/>
              <w:textAlignment w:val="auto"/>
              <w:rPr>
                <w:rFonts w:ascii="New York" w:hAnsi="New York"/>
                <w:iCs/>
              </w:rPr>
            </w:pPr>
            <w:r>
              <w:rPr>
                <w:rFonts w:ascii="New York" w:hAnsi="New York"/>
                <w:iCs/>
              </w:rPr>
              <w:t xml:space="preserve">Support HARQ-offset for SUO case1 in EN-DC with LTE TDD PCell </w:t>
            </w:r>
          </w:p>
          <w:p>
            <w:pPr>
              <w:pStyle w:val="114"/>
              <w:numPr>
                <w:ilvl w:val="0"/>
                <w:numId w:val="11"/>
              </w:numPr>
              <w:tabs>
                <w:tab w:val="left" w:pos="1080"/>
                <w:tab w:val="clear" w:pos="720"/>
              </w:tabs>
              <w:spacing w:before="0" w:after="0" w:line="240" w:lineRule="auto"/>
              <w:ind w:left="1080"/>
              <w:jc w:val="left"/>
              <w:rPr>
                <w:rFonts w:ascii="New York" w:hAnsi="New York"/>
                <w:iCs/>
                <w:szCs w:val="20"/>
              </w:rPr>
            </w:pPr>
            <w:r>
              <w:rPr>
                <w:rFonts w:ascii="New York" w:hAnsi="New York"/>
                <w:iCs/>
                <w:szCs w:val="20"/>
              </w:rPr>
              <w:t>Note: from UE perspective, it is expected that HARQ-offset value doesn’t violate the DL/UL configuration (in SIB1).</w:t>
            </w:r>
          </w:p>
          <w:p>
            <w:pPr>
              <w:pStyle w:val="114"/>
              <w:numPr>
                <w:ilvl w:val="0"/>
                <w:numId w:val="11"/>
              </w:numPr>
              <w:tabs>
                <w:tab w:val="left" w:pos="1080"/>
                <w:tab w:val="clear" w:pos="720"/>
              </w:tabs>
              <w:spacing w:before="0" w:after="0" w:line="240" w:lineRule="auto"/>
              <w:ind w:left="1080"/>
              <w:jc w:val="left"/>
              <w:rPr>
                <w:rFonts w:ascii="New York" w:hAnsi="New York"/>
                <w:iCs/>
                <w:szCs w:val="20"/>
              </w:rPr>
            </w:pPr>
            <w:r>
              <w:rPr>
                <w:rFonts w:ascii="New York" w:hAnsi="New York"/>
                <w:iCs/>
                <w:szCs w:val="20"/>
              </w:rPr>
              <w:t>For type 1 UE, the feature is optional. FFS for type 2 UE.</w:t>
            </w:r>
          </w:p>
          <w:p>
            <w:pPr>
              <w:spacing w:before="0" w:after="0" w:line="240" w:lineRule="auto"/>
              <w:rPr>
                <w:rFonts w:ascii="New York" w:hAnsi="New York"/>
                <w:lang w:eastAsia="zh-CN"/>
              </w:rPr>
            </w:pPr>
          </w:p>
          <w:p>
            <w:pPr>
              <w:spacing w:before="0" w:after="0" w:line="240" w:lineRule="auto"/>
              <w:rPr>
                <w:rFonts w:ascii="New York" w:hAnsi="New York"/>
                <w:lang w:eastAsia="zh-CN"/>
              </w:rPr>
            </w:pPr>
            <w:r>
              <w:rPr>
                <w:rFonts w:ascii="New York" w:hAnsi="New York"/>
                <w:highlight w:val="green"/>
                <w:lang w:eastAsia="zh-CN"/>
              </w:rPr>
              <w:t>Agreements</w:t>
            </w:r>
            <w:r>
              <w:rPr>
                <w:rFonts w:ascii="New York" w:hAnsi="New York"/>
                <w:lang w:eastAsia="zh-CN"/>
              </w:rPr>
              <w:t>:</w:t>
            </w:r>
          </w:p>
          <w:p>
            <w:pPr>
              <w:spacing w:before="0" w:after="0" w:line="240" w:lineRule="auto"/>
              <w:rPr>
                <w:rFonts w:ascii="New York" w:hAnsi="New York" w:eastAsia="MS Mincho"/>
                <w:lang w:eastAsia="zh-CN"/>
              </w:rPr>
            </w:pPr>
            <w:r>
              <w:rPr>
                <w:rFonts w:ascii="New York" w:hAnsi="New York"/>
                <w:bCs/>
              </w:rPr>
              <w:t xml:space="preserve">R15 specification on “DL HARQ timing for FDD Scell for LTE TDD-FDD CA with TDD Pcell, applied to FDD Pcell” (i.e., case1 HARQ timing in single UL), </w:t>
            </w:r>
            <w:r>
              <w:rPr>
                <w:rFonts w:ascii="New York" w:hAnsi="New York" w:eastAsia="MS Mincho"/>
                <w:lang w:eastAsia="zh-CN"/>
              </w:rPr>
              <w:t>is applied to EN-DC UE capable of dual UL Tx in EN-DC with LTE FDD PCell to mitigate DL de-sensing due to Harmonics, at least including:</w:t>
            </w:r>
          </w:p>
          <w:p>
            <w:pPr>
              <w:pStyle w:val="114"/>
              <w:numPr>
                <w:ilvl w:val="0"/>
                <w:numId w:val="12"/>
              </w:numPr>
              <w:spacing w:before="0" w:after="0" w:line="240" w:lineRule="auto"/>
              <w:rPr>
                <w:rFonts w:ascii="New York" w:hAnsi="New York" w:eastAsia="MS Mincho"/>
                <w:szCs w:val="20"/>
                <w:lang w:eastAsia="zh-CN"/>
              </w:rPr>
            </w:pPr>
            <w:r>
              <w:rPr>
                <w:rFonts w:ascii="New York" w:hAnsi="New York" w:eastAsia="MS Mincho"/>
                <w:szCs w:val="20"/>
                <w:lang w:eastAsia="zh-CN"/>
              </w:rPr>
              <w:t>UE behavior specified in 36.213 and 36.212</w:t>
            </w:r>
          </w:p>
          <w:p>
            <w:pPr>
              <w:pStyle w:val="114"/>
              <w:numPr>
                <w:ilvl w:val="0"/>
                <w:numId w:val="12"/>
              </w:numPr>
              <w:spacing w:before="0" w:after="0" w:line="240" w:lineRule="auto"/>
              <w:rPr>
                <w:rFonts w:ascii="New York" w:hAnsi="New York" w:eastAsia="MS Mincho"/>
                <w:szCs w:val="20"/>
                <w:lang w:eastAsia="zh-CN"/>
              </w:rPr>
            </w:pPr>
            <w:r>
              <w:rPr>
                <w:rFonts w:ascii="New York" w:hAnsi="New York" w:eastAsia="MS Mincho"/>
                <w:szCs w:val="20"/>
                <w:lang w:eastAsia="zh-CN"/>
              </w:rPr>
              <w:t>FFS: all uplink subframes can be scheduled for LTE</w:t>
            </w:r>
          </w:p>
          <w:p>
            <w:pPr>
              <w:spacing w:before="0" w:after="0" w:line="240" w:lineRule="auto"/>
              <w:rPr>
                <w:rFonts w:ascii="New York" w:hAnsi="New York"/>
                <w:lang w:eastAsia="zh-CN"/>
              </w:rPr>
            </w:pPr>
          </w:p>
          <w:p>
            <w:pPr>
              <w:spacing w:before="0" w:after="0" w:line="240" w:lineRule="auto"/>
              <w:rPr>
                <w:rFonts w:ascii="New York" w:hAnsi="New York"/>
                <w:highlight w:val="green"/>
              </w:rPr>
            </w:pPr>
            <w:r>
              <w:rPr>
                <w:rFonts w:ascii="New York" w:hAnsi="New York"/>
              </w:rPr>
              <w:t xml:space="preserve">Send LS to RAN2 to notify them the above agreement (Vodafone) </w:t>
            </w:r>
            <w:r>
              <w:rPr>
                <w:rFonts w:ascii="New York" w:hAnsi="New York"/>
                <w:b/>
                <w:bCs/>
              </w:rPr>
              <w:t>R1-1909875</w:t>
            </w:r>
            <w:r>
              <w:rPr>
                <w:rFonts w:ascii="New York" w:hAnsi="New York"/>
                <w:highlight w:val="green"/>
              </w:rPr>
              <w:t>, which is approved (by removing cc-ing to RAN) with final LS in R1-1909880</w:t>
            </w:r>
          </w:p>
          <w:p>
            <w:pPr>
              <w:spacing w:before="0" w:after="0" w:line="240" w:lineRule="auto"/>
              <w:rPr>
                <w:rFonts w:ascii="New York" w:hAnsi="New York"/>
                <w:lang w:eastAsia="zh-CN"/>
              </w:rPr>
            </w:pPr>
          </w:p>
          <w:p>
            <w:pPr>
              <w:spacing w:before="0" w:after="0" w:line="240" w:lineRule="auto"/>
              <w:rPr>
                <w:rFonts w:ascii="New York" w:hAnsi="New York"/>
                <w:iCs/>
              </w:rPr>
            </w:pPr>
            <w:r>
              <w:rPr>
                <w:rFonts w:ascii="New York" w:hAnsi="New York"/>
                <w:iCs/>
                <w:highlight w:val="green"/>
              </w:rPr>
              <w:t>Agreements</w:t>
            </w:r>
            <w:r>
              <w:rPr>
                <w:rFonts w:ascii="New York" w:hAnsi="New York"/>
                <w:iCs/>
              </w:rPr>
              <w:t>:</w:t>
            </w:r>
          </w:p>
          <w:p>
            <w:pPr>
              <w:spacing w:before="0" w:after="0" w:line="240" w:lineRule="auto"/>
              <w:rPr>
                <w:rFonts w:ascii="New York" w:hAnsi="New York"/>
                <w:iCs/>
              </w:rPr>
            </w:pPr>
            <w:r>
              <w:rPr>
                <w:rFonts w:ascii="New York" w:hAnsi="New York"/>
                <w:iCs/>
              </w:rPr>
              <w:t xml:space="preserve">When UE is configured with DL-reference config on the LTE PCell to support single UL in EN-DC with LTE TDD PCell, regarding the case of LTE PCell’s TDD pattern 0 &amp; 6 (as configured in SIB1) </w:t>
            </w:r>
          </w:p>
          <w:p>
            <w:pPr>
              <w:pStyle w:val="114"/>
              <w:numPr>
                <w:ilvl w:val="0"/>
                <w:numId w:val="13"/>
              </w:numPr>
              <w:spacing w:before="0" w:after="0" w:line="240" w:lineRule="auto"/>
              <w:rPr>
                <w:rFonts w:ascii="New York" w:hAnsi="New York"/>
                <w:iCs/>
                <w:szCs w:val="20"/>
              </w:rPr>
            </w:pPr>
            <w:r>
              <w:rPr>
                <w:rFonts w:ascii="New York" w:hAnsi="New York"/>
                <w:iCs/>
                <w:szCs w:val="20"/>
              </w:rPr>
              <w:t>Not supported in R16.</w:t>
            </w:r>
          </w:p>
          <w:p>
            <w:pPr>
              <w:spacing w:before="0" w:after="0" w:line="240" w:lineRule="auto"/>
              <w:rPr>
                <w:rFonts w:ascii="New York" w:hAnsi="New York"/>
                <w:lang w:eastAsia="zh-CN"/>
              </w:rPr>
            </w:pPr>
          </w:p>
          <w:p>
            <w:pPr>
              <w:spacing w:before="0" w:after="0" w:line="240" w:lineRule="auto"/>
              <w:rPr>
                <w:rFonts w:ascii="New York" w:hAnsi="New York"/>
                <w:lang w:eastAsia="zh-CN"/>
              </w:rPr>
            </w:pPr>
            <w:r>
              <w:rPr>
                <w:rFonts w:ascii="New York" w:hAnsi="New York"/>
                <w:lang w:eastAsia="zh-CN"/>
              </w:rPr>
              <w:t>Proposals:</w:t>
            </w:r>
          </w:p>
          <w:p>
            <w:pPr>
              <w:spacing w:before="0" w:after="0" w:line="240" w:lineRule="auto"/>
              <w:rPr>
                <w:rFonts w:ascii="New York" w:hAnsi="New York" w:eastAsia="MS Mincho"/>
                <w:iCs/>
              </w:rPr>
            </w:pPr>
            <w:r>
              <w:rPr>
                <w:rFonts w:ascii="New York" w:hAnsi="New York" w:eastAsia="MS Mincho"/>
                <w:iCs/>
              </w:rPr>
              <w:t>For single UL operation in EN-DC with LTE TDD PCell, and UE is configured with DL-reference UL/DL configuration, if an explicit PUCCH format 1a/1b resource is configured, option 2; otherwise, option 1</w:t>
            </w:r>
          </w:p>
          <w:p>
            <w:pPr>
              <w:pStyle w:val="114"/>
              <w:numPr>
                <w:ilvl w:val="0"/>
                <w:numId w:val="13"/>
              </w:numPr>
              <w:overflowPunct w:val="0"/>
              <w:autoSpaceDE w:val="0"/>
              <w:autoSpaceDN w:val="0"/>
              <w:adjustRightInd w:val="0"/>
              <w:spacing w:before="0" w:after="0" w:line="240" w:lineRule="auto"/>
              <w:textAlignment w:val="baseline"/>
              <w:rPr>
                <w:rFonts w:ascii="New York" w:hAnsi="New York" w:eastAsia="MS Mincho"/>
                <w:b/>
                <w:iCs/>
                <w:szCs w:val="20"/>
              </w:rPr>
            </w:pPr>
            <w:r>
              <w:rPr>
                <w:rFonts w:ascii="New York" w:hAnsi="New York" w:eastAsia="MS Mincho"/>
                <w:iCs/>
                <w:szCs w:val="20"/>
              </w:rPr>
              <w:t xml:space="preserve">Option 1: Support only PUCCH formats 3/4/5 when DAI=1, i.e., </w:t>
            </w:r>
            <w:r>
              <w:rPr>
                <w:rFonts w:ascii="New York" w:hAnsi="New York" w:eastAsia="MS Mincho"/>
                <w:iCs/>
                <w:color w:val="000000"/>
                <w:szCs w:val="20"/>
              </w:rPr>
              <w:t>PUCCH fallback operation is not supported</w:t>
            </w:r>
            <w:r>
              <w:rPr>
                <w:rFonts w:ascii="New York" w:hAnsi="New York" w:eastAsia="MS Mincho"/>
                <w:iCs/>
                <w:szCs w:val="20"/>
              </w:rPr>
              <w:t>.</w:t>
            </w:r>
          </w:p>
          <w:p>
            <w:pPr>
              <w:pStyle w:val="114"/>
              <w:numPr>
                <w:ilvl w:val="1"/>
                <w:numId w:val="13"/>
              </w:numPr>
              <w:overflowPunct w:val="0"/>
              <w:autoSpaceDE w:val="0"/>
              <w:autoSpaceDN w:val="0"/>
              <w:adjustRightInd w:val="0"/>
              <w:spacing w:before="0" w:after="0" w:line="240" w:lineRule="auto"/>
              <w:textAlignment w:val="baseline"/>
              <w:rPr>
                <w:rFonts w:ascii="New York" w:hAnsi="New York" w:eastAsia="MS Mincho"/>
                <w:iCs/>
                <w:szCs w:val="20"/>
              </w:rPr>
            </w:pPr>
            <w:r>
              <w:rPr>
                <w:rFonts w:ascii="New York" w:hAnsi="New York" w:eastAsia="MS Mincho"/>
                <w:iCs/>
                <w:szCs w:val="20"/>
              </w:rPr>
              <w:t>Default PUCCH resource corresponding ARI=00 is used when the UE only receives DAI=1 or SPS PDSCH.</w:t>
            </w:r>
          </w:p>
          <w:p>
            <w:pPr>
              <w:pStyle w:val="114"/>
              <w:numPr>
                <w:ilvl w:val="0"/>
                <w:numId w:val="13"/>
              </w:numPr>
              <w:overflowPunct w:val="0"/>
              <w:autoSpaceDE w:val="0"/>
              <w:autoSpaceDN w:val="0"/>
              <w:adjustRightInd w:val="0"/>
              <w:spacing w:before="0" w:after="0" w:line="240" w:lineRule="auto"/>
              <w:textAlignment w:val="baseline"/>
              <w:rPr>
                <w:rFonts w:ascii="New York" w:hAnsi="New York" w:eastAsia="MS Mincho"/>
                <w:b/>
                <w:iCs/>
                <w:szCs w:val="20"/>
              </w:rPr>
            </w:pPr>
            <w:r>
              <w:rPr>
                <w:rFonts w:ascii="New York" w:hAnsi="New York" w:eastAsia="MS Mincho"/>
                <w:iCs/>
                <w:szCs w:val="20"/>
              </w:rPr>
              <w:t>Option 2: Allocate an explicit PUCCH format 1a/1b resource for the fallback HARQ-ACK transmission corresponding to the PDCCH with DAI = 1 or SPS PDSCH.</w:t>
            </w:r>
          </w:p>
          <w:p>
            <w:pPr>
              <w:pStyle w:val="114"/>
              <w:overflowPunct w:val="0"/>
              <w:autoSpaceDE w:val="0"/>
              <w:autoSpaceDN w:val="0"/>
              <w:adjustRightInd w:val="0"/>
              <w:spacing w:before="120" w:after="0" w:line="280" w:lineRule="atLeast"/>
              <w:ind w:left="0"/>
              <w:textAlignment w:val="baseline"/>
              <w:rPr>
                <w:rFonts w:ascii="New York" w:hAnsi="New York" w:eastAsia="MS Mincho"/>
                <w:b/>
                <w:iCs/>
                <w:highlight w:val="cyan"/>
              </w:rPr>
            </w:pPr>
            <w:r>
              <w:rPr>
                <w:rFonts w:ascii="New York" w:hAnsi="New York" w:eastAsia="MS Mincho"/>
                <w:iCs/>
                <w:szCs w:val="20"/>
                <w:highlight w:val="cyan"/>
              </w:rPr>
              <w:t>Email approval till 9/5 – Wei (Apple)</w:t>
            </w:r>
          </w:p>
        </w:tc>
      </w:tr>
    </w:tbl>
    <w:p>
      <w:pPr>
        <w:rPr>
          <w:lang w:val="en-GB" w:eastAsia="zh-CN"/>
        </w:rPr>
      </w:pPr>
    </w:p>
    <w:p>
      <w:pPr>
        <w:rPr>
          <w:lang w:val="en-GB" w:eastAsia="zh-CN"/>
        </w:rPr>
      </w:pPr>
      <w:r>
        <w:rPr>
          <w:rFonts w:hint="eastAsia"/>
          <w:lang w:val="en-GB" w:eastAsia="zh-CN"/>
        </w:rPr>
        <w:t>I</w:t>
      </w:r>
      <w:r>
        <w:rPr>
          <w:lang w:val="en-GB" w:eastAsia="zh-CN"/>
        </w:rPr>
        <w:t>n this contribution, we present our analysis and preference for</w:t>
      </w:r>
      <w:r>
        <w:rPr>
          <w:rFonts w:hint="eastAsia"/>
          <w:lang w:eastAsia="zh-CN"/>
        </w:rPr>
        <w:t xml:space="preserve"> </w:t>
      </w:r>
      <w:r>
        <w:rPr>
          <w:lang w:eastAsia="zh-CN"/>
        </w:rPr>
        <w:t xml:space="preserve">the remaining </w:t>
      </w:r>
      <w:r>
        <w:rPr>
          <w:rFonts w:hint="eastAsia"/>
          <w:lang w:eastAsia="zh-CN"/>
        </w:rPr>
        <w:t>issues on</w:t>
      </w:r>
      <w:r>
        <w:rPr>
          <w:lang w:val="en-GB" w:eastAsia="zh-CN"/>
        </w:rPr>
        <w:t xml:space="preserve"> both single Tx and dual Tx.</w:t>
      </w:r>
    </w:p>
    <w:p>
      <w:pPr>
        <w:pStyle w:val="2"/>
        <w:rPr>
          <w:lang w:eastAsia="zh-CN"/>
        </w:rPr>
      </w:pPr>
      <w:r>
        <w:rPr>
          <w:rFonts w:hint="eastAsia"/>
          <w:lang w:eastAsia="zh-CN"/>
        </w:rPr>
        <w:t>D</w:t>
      </w:r>
      <w:r>
        <w:rPr>
          <w:lang w:eastAsia="zh-CN"/>
        </w:rPr>
        <w:t>ual Tx</w:t>
      </w:r>
    </w:p>
    <w:p>
      <w:pPr>
        <w:rPr>
          <w:lang w:eastAsia="zh-CN"/>
        </w:rPr>
      </w:pPr>
      <w:r>
        <w:rPr>
          <w:rFonts w:hint="eastAsia"/>
          <w:lang w:eastAsia="zh-CN"/>
        </w:rPr>
        <w:t>In Rel-15, the SUO for EN-DC with LTE FDD PCell is introduced and specified. Since EN-DC is the most typical deployment in early NR deployment, most of the network implementation work related to Rel-15 EN-DC are drawing to an end. In this case, to reduce the implementation impact as much as possible, it</w:t>
      </w:r>
      <w:r>
        <w:rPr>
          <w:lang w:eastAsia="zh-CN"/>
        </w:rPr>
        <w:t>’</w:t>
      </w:r>
      <w:r>
        <w:rPr>
          <w:rFonts w:hint="eastAsia"/>
          <w:lang w:eastAsia="zh-CN"/>
        </w:rPr>
        <w:t>s desirable to reuse the Rel-15 SUO mechanism for dual Tx UEs.</w:t>
      </w:r>
    </w:p>
    <w:p>
      <w:pPr>
        <w:rPr>
          <w:i/>
          <w:iCs/>
          <w:lang w:eastAsia="zh-CN"/>
        </w:rPr>
      </w:pPr>
      <w:r>
        <w:rPr>
          <w:rFonts w:hint="eastAsia"/>
          <w:b/>
          <w:bCs/>
          <w:i/>
          <w:iCs/>
          <w:lang w:eastAsia="zh-CN"/>
        </w:rPr>
        <w:t>Proposal 1</w:t>
      </w:r>
      <w:r>
        <w:rPr>
          <w:rFonts w:hint="eastAsia"/>
          <w:i/>
          <w:iCs/>
          <w:lang w:eastAsia="zh-CN"/>
        </w:rPr>
        <w:t>: In order to reduce the implementation impact of the ongoing Rel-15 SUO for EN-DC with LTE FDD PCell, it</w:t>
      </w:r>
      <w:r>
        <w:rPr>
          <w:i/>
          <w:iCs/>
          <w:lang w:eastAsia="zh-CN"/>
        </w:rPr>
        <w:t>’</w:t>
      </w:r>
      <w:r>
        <w:rPr>
          <w:rFonts w:hint="eastAsia"/>
          <w:i/>
          <w:iCs/>
          <w:lang w:eastAsia="zh-CN"/>
        </w:rPr>
        <w:t>s desirable to reuse the Rel-15 SUO mechanism for dual Tx UEs.</w:t>
      </w:r>
    </w:p>
    <w:p>
      <w:pPr>
        <w:rPr>
          <w:lang w:eastAsia="zh-CN"/>
        </w:rPr>
      </w:pPr>
      <w:r>
        <w:rPr>
          <w:lang w:eastAsia="zh-CN"/>
        </w:rPr>
        <w:t>For dual Tx UE, it has the capability to transmit uplink in LTE leg and NR leg simultaneously. However, in some specific band combinations with harmonic interference, UE may expect network to configure ‘single uplink’ to eliminate the harmonic interference. To realize ‘single Tx’, two cases have been specified in Rel-15:</w:t>
      </w:r>
    </w:p>
    <w:p>
      <w:pPr>
        <w:rPr>
          <w:lang w:eastAsia="zh-CN"/>
        </w:rPr>
      </w:pPr>
      <w:r>
        <w:rPr>
          <w:lang w:eastAsia="zh-CN"/>
        </w:rPr>
        <w:tab/>
      </w:r>
      <w:r>
        <w:rPr>
          <w:lang w:eastAsia="zh-CN"/>
        </w:rPr>
        <w:t>Case 1: DL-reference HARQ timing</w:t>
      </w:r>
    </w:p>
    <w:p>
      <w:pPr>
        <w:rPr>
          <w:lang w:eastAsia="zh-CN"/>
        </w:rPr>
      </w:pPr>
      <w:r>
        <w:rPr>
          <w:lang w:eastAsia="zh-CN"/>
        </w:rPr>
        <w:tab/>
      </w:r>
      <w:r>
        <w:rPr>
          <w:lang w:eastAsia="zh-CN"/>
        </w:rPr>
        <w:t>Case 2: Release 15 LTE-FDD HARQ timing</w:t>
      </w:r>
    </w:p>
    <w:p>
      <w:pPr>
        <w:rPr>
          <w:lang w:eastAsia="zh-CN"/>
        </w:rPr>
      </w:pPr>
      <w:r>
        <w:rPr>
          <w:lang w:eastAsia="zh-CN"/>
        </w:rPr>
        <w:t xml:space="preserve">For dual Tx, it is preferred to follow the same mode, i.e., supporting both Case 1 and Case 2 HARQ timing to realize single Tx. In Rel-15, the RRC signaling </w:t>
      </w:r>
      <w:r>
        <w:rPr>
          <w:i/>
          <w:lang w:eastAsia="zh-CN"/>
        </w:rPr>
        <w:t>tdm-PatternConfig-r15</w:t>
      </w:r>
      <w:r>
        <w:rPr>
          <w:lang w:eastAsia="zh-CN"/>
        </w:rPr>
        <w:t xml:space="preserve"> is used to differentiate Case 1 and Case 2 HARQ timing. If </w:t>
      </w:r>
      <w:r>
        <w:rPr>
          <w:i/>
          <w:lang w:eastAsia="zh-CN"/>
        </w:rPr>
        <w:t xml:space="preserve">tdm-PatternConfig-r15 </w:t>
      </w:r>
      <w:r>
        <w:rPr>
          <w:lang w:eastAsia="zh-CN"/>
        </w:rPr>
        <w:t>is configured via the network, Case 1 HARQ timing is adopted; otherwise, Case 2 HARQ timing is adopted. The same mechanism can be adopted for Rel-16.</w:t>
      </w:r>
    </w:p>
    <w:p>
      <w:pPr>
        <w:rPr>
          <w:i/>
          <w:lang w:eastAsia="zh-CN"/>
        </w:rPr>
      </w:pPr>
      <w:r>
        <w:rPr>
          <w:b/>
          <w:i/>
          <w:lang w:eastAsia="zh-CN"/>
        </w:rPr>
        <w:t>Proposal 2</w:t>
      </w:r>
      <w:r>
        <w:rPr>
          <w:i/>
          <w:lang w:eastAsia="zh-CN"/>
        </w:rPr>
        <w:t>: Both Case 1 and Case 2 HARQ timing are supported for dual Tx UEs to realize single uplink in Rel-16. Network configures either Case 1 or Case 2 HARQ timing for UE via RRC signaling.</w:t>
      </w:r>
    </w:p>
    <w:p>
      <w:pPr>
        <w:rPr>
          <w:lang w:eastAsia="zh-CN"/>
        </w:rPr>
      </w:pPr>
      <w:r>
        <w:rPr>
          <w:rFonts w:hint="eastAsia"/>
          <w:lang w:eastAsia="zh-CN"/>
        </w:rPr>
        <w:t>A</w:t>
      </w:r>
      <w:r>
        <w:rPr>
          <w:lang w:eastAsia="zh-CN"/>
        </w:rPr>
        <w:t xml:space="preserve">ccording to </w:t>
      </w:r>
      <w:r>
        <w:rPr>
          <w:lang w:eastAsia="zh-CN"/>
        </w:rPr>
        <w:fldChar w:fldCharType="begin"/>
      </w:r>
      <w:r>
        <w:rPr>
          <w:lang w:eastAsia="zh-CN"/>
        </w:rPr>
        <w:instrText xml:space="preserve"> REF _Ref19801343 \n \h </w:instrText>
      </w:r>
      <w:r>
        <w:rPr>
          <w:lang w:eastAsia="zh-CN"/>
        </w:rPr>
        <w:fldChar w:fldCharType="separate"/>
      </w:r>
      <w:r>
        <w:rPr>
          <w:lang w:eastAsia="zh-CN"/>
        </w:rPr>
        <w:t>[2]</w:t>
      </w:r>
      <w:r>
        <w:rPr>
          <w:lang w:eastAsia="zh-CN"/>
        </w:rPr>
        <w:fldChar w:fldCharType="end"/>
      </w:r>
      <w:r>
        <w:rPr>
          <w:lang w:eastAsia="zh-CN"/>
        </w:rPr>
        <w:t xml:space="preserve"> from Vodafone who raised this issue, the band combination with potential harmonic interference is Band 3 + Band 77/78. It is worth noting that this band combination also contains inter-modulation interference </w:t>
      </w:r>
      <w:r>
        <w:rPr>
          <w:lang w:eastAsia="zh-CN"/>
        </w:rPr>
        <w:fldChar w:fldCharType="begin"/>
      </w:r>
      <w:r>
        <w:rPr>
          <w:lang w:eastAsia="zh-CN"/>
        </w:rPr>
        <w:instrText xml:space="preserve"> REF _Ref19798257 \n \h </w:instrText>
      </w:r>
      <w:r>
        <w:rPr>
          <w:lang w:eastAsia="zh-CN"/>
        </w:rPr>
        <w:fldChar w:fldCharType="separate"/>
      </w:r>
      <w:r>
        <w:rPr>
          <w:lang w:eastAsia="zh-CN"/>
        </w:rPr>
        <w:t>[3]</w:t>
      </w:r>
      <w:r>
        <w:rPr>
          <w:lang w:eastAsia="zh-CN"/>
        </w:rPr>
        <w:fldChar w:fldCharType="end"/>
      </w:r>
      <w:r>
        <w:rPr>
          <w:lang w:eastAsia="zh-CN"/>
        </w:rPr>
        <w:t>. To eliminate the harmonic interference, the LTE uplink should avoid overlapping with NR downlink. In other words, the LTE uplink can only be aligned with NR uplink. While to eliminate the inter-modulation interference, the LTE uplink should avoid overlapping with NR uplink. Combining these two aspects together, to handle both harmonic interference and inter-modulation interference, network has to guarantee the following two configurations:</w:t>
      </w:r>
    </w:p>
    <w:p>
      <w:pPr>
        <w:pStyle w:val="114"/>
        <w:numPr>
          <w:ilvl w:val="0"/>
          <w:numId w:val="14"/>
        </w:numPr>
        <w:rPr>
          <w:lang w:eastAsia="zh-CN"/>
        </w:rPr>
      </w:pPr>
      <w:r>
        <w:rPr>
          <w:rFonts w:hint="eastAsia" w:eastAsiaTheme="minorEastAsia"/>
          <w:lang w:eastAsia="zh-CN"/>
        </w:rPr>
        <w:t>A</w:t>
      </w:r>
      <w:r>
        <w:rPr>
          <w:rFonts w:eastAsiaTheme="minorEastAsia"/>
          <w:lang w:eastAsia="zh-CN"/>
        </w:rPr>
        <w:t>lign the LTE UL subframes with NR UL slots to avoid harmonic interference;</w:t>
      </w:r>
    </w:p>
    <w:p>
      <w:pPr>
        <w:pStyle w:val="114"/>
        <w:numPr>
          <w:ilvl w:val="0"/>
          <w:numId w:val="14"/>
        </w:numPr>
        <w:rPr>
          <w:lang w:eastAsia="zh-CN"/>
        </w:rPr>
      </w:pPr>
      <w:r>
        <w:rPr>
          <w:rFonts w:hint="eastAsia" w:eastAsiaTheme="minorEastAsia"/>
          <w:lang w:eastAsia="zh-CN"/>
        </w:rPr>
        <w:t>S</w:t>
      </w:r>
      <w:r>
        <w:rPr>
          <w:rFonts w:eastAsiaTheme="minorEastAsia"/>
          <w:lang w:eastAsia="zh-CN"/>
        </w:rPr>
        <w:t>plit LTE uplink transmission and NR transmission in different subframes/slots to avoid inter-modulation interference.</w:t>
      </w:r>
    </w:p>
    <w:p>
      <w:pPr>
        <w:rPr>
          <w:lang w:eastAsia="zh-CN"/>
        </w:rPr>
      </w:pPr>
      <w:r>
        <w:rPr>
          <w:rFonts w:hint="eastAsia"/>
          <w:lang w:eastAsia="zh-CN"/>
        </w:rPr>
        <w:t>I</w:t>
      </w:r>
      <w:r>
        <w:rPr>
          <w:lang w:eastAsia="zh-CN"/>
        </w:rPr>
        <w:t>f the dual Tx UE is regarded as a single Tx UE, i.e., totally reusing the Rel-15 single Tx design for dual Tx UE in case of Case 1 HARQ timing, all the above issues can be resolved. If all uplink subframes can be scheduled for LTE, it is likely to result in inter-modulation interference and harmonic interference since the LTE uplink is likely to be overlapped with NR uplink and NR downlink, respectively.</w:t>
      </w:r>
    </w:p>
    <w:p>
      <w:pPr>
        <w:rPr>
          <w:i/>
          <w:lang w:eastAsia="zh-CN"/>
        </w:rPr>
      </w:pPr>
      <w:r>
        <w:rPr>
          <w:b/>
          <w:i/>
          <w:lang w:eastAsia="zh-CN"/>
        </w:rPr>
        <w:t>Proposal 3</w:t>
      </w:r>
      <w:r>
        <w:rPr>
          <w:i/>
          <w:lang w:eastAsia="zh-CN"/>
        </w:rPr>
        <w:t xml:space="preserve">: Reuse the Rel-15 single Tx design for dual Tx UE in case of Case 1 HARQ timing. Do not support the case that all uplink subframes can be scheduled for LTE for Case 1 HARQ timing. </w:t>
      </w:r>
    </w:p>
    <w:p>
      <w:pPr>
        <w:rPr>
          <w:lang w:eastAsia="zh-CN"/>
        </w:rPr>
      </w:pPr>
      <w:r>
        <w:rPr>
          <w:rFonts w:hint="eastAsia"/>
          <w:lang w:eastAsia="zh-CN"/>
        </w:rPr>
        <w:t xml:space="preserve">Regarding the SUO UE capability, two UE capabilities have been specified according to TS 38.306. As shown below, </w:t>
      </w:r>
      <w:r>
        <w:rPr>
          <w:rFonts w:hint="eastAsia"/>
          <w:i/>
          <w:iCs/>
          <w:lang w:eastAsia="zh-CN"/>
        </w:rPr>
        <w:t>singleUL-Transmission</w:t>
      </w:r>
      <w:r>
        <w:rPr>
          <w:rFonts w:hint="eastAsia"/>
          <w:lang w:eastAsia="zh-CN"/>
        </w:rPr>
        <w:t xml:space="preserve"> is used to indicate whether the UE supports simultaneous UL transmissions or not; </w:t>
      </w:r>
      <w:r>
        <w:rPr>
          <w:rFonts w:hint="eastAsia"/>
          <w:i/>
          <w:iCs/>
          <w:lang w:eastAsia="zh-CN"/>
        </w:rPr>
        <w:t>tdm-Pattern</w:t>
      </w:r>
      <w:r>
        <w:rPr>
          <w:rFonts w:hint="eastAsia"/>
          <w:lang w:eastAsia="zh-CN"/>
        </w:rPr>
        <w:t xml:space="preserve"> is used to indicate whether the UE supports DL-reference HARQ timing.</w:t>
      </w:r>
      <w:r>
        <w:rPr>
          <w:lang w:eastAsia="zh-CN"/>
        </w:rPr>
        <w:t xml:space="preserve"> In addition, one RRC signaling has been defined in LTE to indicate the DL-reference TDD pattern, i.e., </w:t>
      </w:r>
      <w:r>
        <w:rPr>
          <w:i/>
          <w:lang w:eastAsia="zh-CN"/>
        </w:rPr>
        <w:t>tdm-PatternConfig-r15</w:t>
      </w:r>
      <w:r>
        <w:rPr>
          <w:lang w:eastAsia="zh-CN"/>
        </w:rPr>
        <w:t>.</w:t>
      </w:r>
    </w:p>
    <w:tbl>
      <w:tblPr>
        <w:tblStyle w:val="58"/>
        <w:tblW w:w="9630" w:type="dxa"/>
        <w:jc w:val="center"/>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6917"/>
        <w:gridCol w:w="709"/>
        <w:gridCol w:w="567"/>
        <w:gridCol w:w="709"/>
        <w:gridCol w:w="728"/>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blHeader/>
          <w:jc w:val="center"/>
        </w:trPr>
        <w:tc>
          <w:tcPr>
            <w:tcW w:w="6917" w:type="dxa"/>
          </w:tcPr>
          <w:p>
            <w:pPr>
              <w:pStyle w:val="63"/>
              <w:rPr>
                <w:lang w:val="en-GB"/>
              </w:rPr>
            </w:pPr>
            <w:r>
              <w:rPr>
                <w:lang w:val="en-GB"/>
              </w:rPr>
              <w:t>Definitions for parameters</w:t>
            </w:r>
          </w:p>
        </w:tc>
        <w:tc>
          <w:tcPr>
            <w:tcW w:w="709" w:type="dxa"/>
          </w:tcPr>
          <w:p>
            <w:pPr>
              <w:pStyle w:val="63"/>
              <w:rPr>
                <w:lang w:val="en-GB"/>
              </w:rPr>
            </w:pPr>
            <w:r>
              <w:rPr>
                <w:lang w:val="en-GB"/>
              </w:rPr>
              <w:t>Per</w:t>
            </w:r>
          </w:p>
        </w:tc>
        <w:tc>
          <w:tcPr>
            <w:tcW w:w="567" w:type="dxa"/>
          </w:tcPr>
          <w:p>
            <w:pPr>
              <w:pStyle w:val="63"/>
              <w:rPr>
                <w:lang w:val="en-GB"/>
              </w:rPr>
            </w:pPr>
            <w:r>
              <w:rPr>
                <w:lang w:val="en-GB"/>
              </w:rPr>
              <w:t>M</w:t>
            </w:r>
          </w:p>
        </w:tc>
        <w:tc>
          <w:tcPr>
            <w:tcW w:w="709" w:type="dxa"/>
          </w:tcPr>
          <w:p>
            <w:pPr>
              <w:pStyle w:val="63"/>
              <w:rPr>
                <w:lang w:val="en-GB"/>
              </w:rPr>
            </w:pPr>
            <w:r>
              <w:rPr>
                <w:lang w:val="en-GB"/>
              </w:rPr>
              <w:t>FDD-TDD</w:t>
            </w:r>
          </w:p>
          <w:p>
            <w:pPr>
              <w:pStyle w:val="63"/>
              <w:rPr>
                <w:lang w:val="en-GB"/>
              </w:rPr>
            </w:pPr>
            <w:r>
              <w:rPr>
                <w:lang w:val="en-GB"/>
              </w:rPr>
              <w:t>DIFF</w:t>
            </w:r>
          </w:p>
        </w:tc>
        <w:tc>
          <w:tcPr>
            <w:tcW w:w="728" w:type="dxa"/>
          </w:tcPr>
          <w:p>
            <w:pPr>
              <w:pStyle w:val="63"/>
              <w:rPr>
                <w:lang w:val="en-GB"/>
              </w:rPr>
            </w:pPr>
            <w:r>
              <w:rPr>
                <w:lang w:val="en-GB"/>
              </w:rPr>
              <w:t>FR1-FR2</w:t>
            </w:r>
          </w:p>
          <w:p>
            <w:pPr>
              <w:pStyle w:val="63"/>
              <w:rPr>
                <w:lang w:val="en-GB"/>
              </w:rPr>
            </w:pPr>
            <w:r>
              <w:rPr>
                <w:lang w:val="en-GB"/>
              </w:rPr>
              <w:t>DIFF</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blHeader/>
          <w:jc w:val="center"/>
        </w:trPr>
        <w:tc>
          <w:tcPr>
            <w:tcW w:w="6917" w:type="dxa"/>
          </w:tcPr>
          <w:p>
            <w:pPr>
              <w:pStyle w:val="65"/>
              <w:rPr>
                <w:b/>
                <w:bCs/>
                <w:i/>
                <w:iCs/>
              </w:rPr>
            </w:pPr>
            <w:r>
              <w:rPr>
                <w:b/>
                <w:bCs/>
                <w:i/>
                <w:iCs/>
              </w:rPr>
              <w:t>singleUL-Transmission</w:t>
            </w:r>
          </w:p>
          <w:p>
            <w:pPr>
              <w:pStyle w:val="65"/>
            </w:pPr>
            <w:r>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tc>
        <w:tc>
          <w:tcPr>
            <w:tcW w:w="709" w:type="dxa"/>
          </w:tcPr>
          <w:p>
            <w:pPr>
              <w:pStyle w:val="65"/>
              <w:jc w:val="center"/>
            </w:pPr>
            <w:r>
              <w:rPr>
                <w:bCs/>
                <w:iCs/>
              </w:rPr>
              <w:t>BC</w:t>
            </w:r>
          </w:p>
        </w:tc>
        <w:tc>
          <w:tcPr>
            <w:tcW w:w="567" w:type="dxa"/>
          </w:tcPr>
          <w:p>
            <w:pPr>
              <w:pStyle w:val="65"/>
              <w:jc w:val="center"/>
            </w:pPr>
            <w:r>
              <w:rPr>
                <w:bCs/>
                <w:iCs/>
              </w:rPr>
              <w:t>No</w:t>
            </w:r>
          </w:p>
        </w:tc>
        <w:tc>
          <w:tcPr>
            <w:tcW w:w="709" w:type="dxa"/>
          </w:tcPr>
          <w:p>
            <w:pPr>
              <w:pStyle w:val="65"/>
              <w:jc w:val="center"/>
            </w:pPr>
            <w:r>
              <w:rPr>
                <w:bCs/>
                <w:iCs/>
              </w:rPr>
              <w:t>No</w:t>
            </w:r>
          </w:p>
        </w:tc>
        <w:tc>
          <w:tcPr>
            <w:tcW w:w="728" w:type="dxa"/>
          </w:tcPr>
          <w:p>
            <w:pPr>
              <w:pStyle w:val="65"/>
              <w:jc w:val="center"/>
            </w:pPr>
            <w: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blHeader/>
          <w:jc w:val="center"/>
        </w:trPr>
        <w:tc>
          <w:tcPr>
            <w:tcW w:w="6917" w:type="dxa"/>
          </w:tcPr>
          <w:p>
            <w:pPr>
              <w:pStyle w:val="65"/>
              <w:rPr>
                <w:b/>
                <w:bCs/>
                <w:i/>
                <w:iCs/>
              </w:rPr>
            </w:pPr>
            <w:r>
              <w:rPr>
                <w:b/>
                <w:bCs/>
                <w:i/>
                <w:iCs/>
              </w:rPr>
              <w:t>tdm-Pattern</w:t>
            </w:r>
          </w:p>
          <w:p>
            <w:pPr>
              <w:pStyle w:val="65"/>
            </w:pPr>
            <w:r>
              <w:rPr>
                <w:lang w:eastAsia="zh-CN"/>
              </w:rPr>
              <w:t xml:space="preserve">Indicates whether the UE supports the </w:t>
            </w:r>
            <w:r>
              <w:rPr>
                <w:i/>
                <w:lang w:eastAsia="zh-CN"/>
              </w:rPr>
              <w:t>tdm-PatternConfig</w:t>
            </w:r>
            <w:r>
              <w:rPr>
                <w:lang w:eastAsia="zh-CN"/>
              </w:rPr>
              <w:t xml:space="preserve"> for </w:t>
            </w:r>
            <w:r>
              <w:rPr>
                <w:i/>
                <w:lang w:eastAsia="zh-CN"/>
              </w:rPr>
              <w:t>single UL-transmission</w:t>
            </w:r>
            <w:r>
              <w:rPr>
                <w:lang w:eastAsia="zh-CN"/>
              </w:rPr>
              <w:t xml:space="preserve"> associated functionality, as specified in TS 36.331 [17]. Support is conditionally mandatory for UEs that do not support dynamic power sharing and for UEs that indicate single UL transmission for any BC, and optional otherwise.</w:t>
            </w:r>
          </w:p>
        </w:tc>
        <w:tc>
          <w:tcPr>
            <w:tcW w:w="709" w:type="dxa"/>
          </w:tcPr>
          <w:p>
            <w:pPr>
              <w:pStyle w:val="65"/>
              <w:jc w:val="center"/>
            </w:pPr>
            <w:r>
              <w:rPr>
                <w:bCs/>
                <w:iCs/>
              </w:rPr>
              <w:t>BC</w:t>
            </w:r>
          </w:p>
        </w:tc>
        <w:tc>
          <w:tcPr>
            <w:tcW w:w="567" w:type="dxa"/>
          </w:tcPr>
          <w:p>
            <w:pPr>
              <w:pStyle w:val="65"/>
              <w:jc w:val="center"/>
            </w:pPr>
            <w:r>
              <w:rPr>
                <w:bCs/>
                <w:iCs/>
              </w:rPr>
              <w:t>CY</w:t>
            </w:r>
          </w:p>
        </w:tc>
        <w:tc>
          <w:tcPr>
            <w:tcW w:w="709" w:type="dxa"/>
          </w:tcPr>
          <w:p>
            <w:pPr>
              <w:pStyle w:val="65"/>
              <w:jc w:val="center"/>
            </w:pPr>
            <w:r>
              <w:rPr>
                <w:bCs/>
                <w:iCs/>
              </w:rPr>
              <w:t>Yes</w:t>
            </w:r>
          </w:p>
        </w:tc>
        <w:tc>
          <w:tcPr>
            <w:tcW w:w="728" w:type="dxa"/>
          </w:tcPr>
          <w:p>
            <w:pPr>
              <w:pStyle w:val="65"/>
              <w:jc w:val="center"/>
            </w:pPr>
            <w:r>
              <w:t>Yes</w:t>
            </w:r>
          </w:p>
        </w:tc>
      </w:tr>
    </w:tbl>
    <w:p>
      <w:pPr>
        <w:rPr>
          <w:lang w:eastAsia="zh-CN"/>
        </w:rPr>
      </w:pPr>
    </w:p>
    <w:p>
      <w:pPr>
        <w:rPr>
          <w:lang w:eastAsia="zh-CN"/>
        </w:rPr>
      </w:pPr>
      <w:r>
        <w:rPr>
          <w:rFonts w:hint="eastAsia"/>
          <w:lang w:eastAsia="zh-CN"/>
        </w:rPr>
        <w:t>I</w:t>
      </w:r>
      <w:r>
        <w:rPr>
          <w:lang w:eastAsia="zh-CN"/>
        </w:rPr>
        <w:t>f the dual Tx UE is regarded as a single Tx UE, in other words, the UE behavior of dual Tx UE is the same as that of single Tx, all the UE capabilities and RRC signaling can be reused for dual Tx UE. The only thing we need to do is to update the current description of UE capability to cover the case of harmonic interference and dual Tx.</w:t>
      </w:r>
    </w:p>
    <w:p>
      <w:pPr>
        <w:rPr>
          <w:i/>
          <w:lang w:eastAsia="zh-CN"/>
        </w:rPr>
      </w:pPr>
      <w:r>
        <w:rPr>
          <w:b/>
          <w:i/>
          <w:lang w:eastAsia="zh-CN"/>
        </w:rPr>
        <w:t>Proposal 4</w:t>
      </w:r>
      <w:r>
        <w:rPr>
          <w:i/>
          <w:lang w:eastAsia="zh-CN"/>
        </w:rPr>
        <w:t>: Reuse the same UE capability field and RRC signaling field designed for Rel-15 SUO for dual Tx UE with potential update to cover the case of harmonic interference and dual Tx.</w:t>
      </w:r>
    </w:p>
    <w:p>
      <w:pPr>
        <w:pStyle w:val="2"/>
        <w:rPr>
          <w:lang w:eastAsia="zh-CN"/>
        </w:rPr>
      </w:pPr>
      <w:r>
        <w:rPr>
          <w:lang w:eastAsia="zh-CN"/>
        </w:rPr>
        <w:t>Single Tx</w:t>
      </w:r>
    </w:p>
    <w:p>
      <w:pPr>
        <w:pStyle w:val="3"/>
        <w:rPr>
          <w:lang w:eastAsia="zh-CN"/>
        </w:rPr>
      </w:pPr>
      <w:r>
        <w:rPr>
          <w:lang w:eastAsia="zh-CN"/>
        </w:rPr>
        <w:t xml:space="preserve">LTE </w:t>
      </w:r>
      <w:r>
        <w:rPr>
          <w:rFonts w:hint="eastAsia"/>
          <w:lang w:eastAsia="zh-CN"/>
        </w:rPr>
        <w:t>P</w:t>
      </w:r>
      <w:r>
        <w:rPr>
          <w:lang w:eastAsia="zh-CN"/>
        </w:rPr>
        <w:t>UCCH formats for SUO</w:t>
      </w:r>
    </w:p>
    <w:p>
      <w:pPr>
        <w:rPr>
          <w:lang w:val="en-GB" w:eastAsia="zh-CN"/>
        </w:rPr>
      </w:pPr>
      <w:r>
        <w:rPr>
          <w:lang w:val="en-GB" w:eastAsia="zh-CN"/>
        </w:rPr>
        <w:t xml:space="preserve">In LTE, the ARI indication and TPC indication share the same DCI field. When DAI&gt;1, this DCI field is used to indicate the PUCCH resource of PUCCH format 3/4/5, i.e., ARI. However, when DAI=1, this DCI field is used to indicate the power control command, i.e., TPC. In LTE, when the UE receives DAI=1, the PUCCH fallback operation based on implicit resource indication is adopted to determine the PUCCH format and PUCCH resource. </w:t>
      </w:r>
    </w:p>
    <w:p>
      <w:pPr>
        <w:rPr>
          <w:lang w:val="en-GB" w:eastAsia="zh-CN"/>
        </w:rPr>
      </w:pPr>
      <w:r>
        <w:rPr>
          <w:lang w:val="en-GB" w:eastAsia="zh-CN"/>
        </w:rPr>
        <w:t>For SUO in EN-DC with LTE TDD PCell and UE is configured with DL-reference UL/DL configuration, PUCCH formats 3/4/5 are supported while PUCCH fallback operation based on implicit resource indication is not supported due to the high possibility of PUCCH resource collision. Now, the issue is how to determine PUCCH format and resource when the UE receives DAI=1.</w:t>
      </w:r>
    </w:p>
    <w:p>
      <w:pPr>
        <w:rPr>
          <w:lang w:val="en-GB" w:eastAsia="zh-CN"/>
        </w:rPr>
      </w:pPr>
      <w:r>
        <w:rPr>
          <w:rFonts w:hint="eastAsia"/>
          <w:lang w:val="en-GB" w:eastAsia="zh-CN"/>
        </w:rPr>
        <w:t>T</w:t>
      </w:r>
      <w:r>
        <w:rPr>
          <w:lang w:val="en-GB" w:eastAsia="zh-CN"/>
        </w:rPr>
        <w:t>he similar issue has been extensively discussed in LTE phase. One solution is to configure a default ARI value, e.g., ARI=00. If UE only receives DAI=1, UE uses the default ARI value to determine the PUCCH format and resource. Another solution is to reinterpret the TPC field. When DAI=1, the TPC field is still used as the ARI. In this case, UE can use the group common DCI to perform power control. To reduce the spec impact, we propose the former solution.</w:t>
      </w:r>
    </w:p>
    <w:p>
      <w:pPr>
        <w:rPr>
          <w:rFonts w:eastAsia="MS Mincho"/>
        </w:rPr>
      </w:pPr>
      <w:r>
        <w:rPr>
          <w:rFonts w:hint="eastAsia"/>
          <w:lang w:val="en-GB" w:eastAsia="zh-CN"/>
        </w:rPr>
        <w:t>A</w:t>
      </w:r>
      <w:r>
        <w:rPr>
          <w:lang w:val="en-GB" w:eastAsia="zh-CN"/>
        </w:rPr>
        <w:t xml:space="preserve">s for the SPS transmission in LTE, if UE only receives SPS transmission during the bundle window, UE is expected to transmit HARQ-ACK information in the PUCCH resource reserved for SPS. If UE receives SPS transmission and also receives DAI=1 during the bundle window, the procedure for UE to determine the PUCCH resource in this case is the same as when UE only receives DAI=1. No </w:t>
      </w:r>
      <w:r>
        <w:rPr>
          <w:rFonts w:eastAsia="MS Mincho"/>
        </w:rPr>
        <w:t xml:space="preserve">additional issues related to SPS can be found if UE can determine the PUCCH resource when it only receives DAI=1. </w:t>
      </w:r>
      <w:r>
        <w:rPr>
          <w:lang w:val="en-GB" w:eastAsia="zh-CN"/>
        </w:rPr>
        <w:t xml:space="preserve">In other words, </w:t>
      </w:r>
      <w:r>
        <w:rPr>
          <w:rFonts w:eastAsia="MS Mincho"/>
        </w:rPr>
        <w:t xml:space="preserve">regarding PUCCH formats for SUO in EN-DC with LTE TDD PCell, there is </w:t>
      </w:r>
      <w:r>
        <w:rPr>
          <w:lang w:val="en-GB" w:eastAsia="zh-CN"/>
        </w:rPr>
        <w:t xml:space="preserve">no </w:t>
      </w:r>
      <w:r>
        <w:rPr>
          <w:rFonts w:eastAsia="MS Mincho"/>
        </w:rPr>
        <w:t>additional issue related to SPS if Proposal 2 is adopted.</w:t>
      </w:r>
    </w:p>
    <w:p>
      <w:pPr>
        <w:rPr>
          <w:rFonts w:eastAsia="MS Mincho"/>
          <w:i/>
        </w:rPr>
      </w:pPr>
      <w:r>
        <w:rPr>
          <w:b/>
          <w:i/>
          <w:lang w:val="en-GB" w:eastAsia="zh-CN"/>
        </w:rPr>
        <w:t xml:space="preserve">Proposal </w:t>
      </w:r>
      <w:r>
        <w:rPr>
          <w:b/>
          <w:i/>
          <w:lang w:eastAsia="zh-CN"/>
        </w:rPr>
        <w:t>5</w:t>
      </w:r>
      <w:r>
        <w:rPr>
          <w:i/>
          <w:lang w:val="en-GB" w:eastAsia="zh-CN"/>
        </w:rPr>
        <w:t>: For SUO in EN-DC with LTE TDD PCell and UE is configured with DL-reference UL/DL configuration,</w:t>
      </w:r>
      <w:r>
        <w:rPr>
          <w:rFonts w:hint="eastAsia"/>
          <w:i/>
          <w:lang w:val="en-GB" w:eastAsia="zh-CN"/>
        </w:rPr>
        <w:t xml:space="preserve"> </w:t>
      </w:r>
      <w:r>
        <w:rPr>
          <w:rFonts w:eastAsia="MS Mincho"/>
          <w:i/>
        </w:rPr>
        <w:t xml:space="preserve">configure a default ARI value from PUCCH format 3/4/5, e.g., ARI=00. </w:t>
      </w:r>
    </w:p>
    <w:p>
      <w:pPr>
        <w:numPr>
          <w:ilvl w:val="0"/>
          <w:numId w:val="15"/>
        </w:numPr>
        <w:spacing w:after="0"/>
        <w:rPr>
          <w:rFonts w:eastAsia="MS Mincho"/>
          <w:i/>
        </w:rPr>
      </w:pPr>
      <w:r>
        <w:rPr>
          <w:rFonts w:eastAsia="MS Mincho"/>
          <w:i/>
        </w:rPr>
        <w:t>If UE only receives DAI=1, UE uses the default ARI value to determine the PUCCH format and resource.</w:t>
      </w:r>
    </w:p>
    <w:p>
      <w:pPr>
        <w:numPr>
          <w:ilvl w:val="0"/>
          <w:numId w:val="15"/>
        </w:numPr>
        <w:spacing w:after="0"/>
        <w:rPr>
          <w:rFonts w:eastAsia="MS Mincho"/>
          <w:i/>
        </w:rPr>
      </w:pPr>
      <w:r>
        <w:rPr>
          <w:rFonts w:hint="eastAsia" w:eastAsiaTheme="minorEastAsia"/>
          <w:i/>
          <w:lang w:eastAsia="zh-CN"/>
        </w:rPr>
        <w:t>I</w:t>
      </w:r>
      <w:r>
        <w:rPr>
          <w:rFonts w:eastAsiaTheme="minorEastAsia"/>
          <w:i/>
          <w:lang w:eastAsia="zh-CN"/>
        </w:rPr>
        <w:t>f UE receives DAI=1 and SPS transmission, UE uses the default ARI value to determine the PUCCH format and resource.</w:t>
      </w:r>
    </w:p>
    <w:p>
      <w:pPr>
        <w:pStyle w:val="3"/>
        <w:rPr>
          <w:lang w:eastAsia="zh-CN"/>
        </w:rPr>
      </w:pPr>
      <w:r>
        <w:rPr>
          <w:rFonts w:hint="eastAsia"/>
          <w:lang w:eastAsia="zh-CN"/>
        </w:rPr>
        <w:t>C</w:t>
      </w:r>
      <w:r>
        <w:rPr>
          <w:lang w:eastAsia="zh-CN"/>
        </w:rPr>
        <w:t>ollision between LTE uplink and NR uplink</w:t>
      </w:r>
    </w:p>
    <w:p>
      <w:pPr>
        <w:rPr>
          <w:lang w:val="en-GB" w:eastAsia="zh-CN"/>
        </w:rPr>
      </w:pPr>
      <w:r>
        <w:rPr>
          <w:rFonts w:hint="eastAsia"/>
          <w:lang w:val="en-GB" w:eastAsia="zh-CN"/>
        </w:rPr>
        <w:t>F</w:t>
      </w:r>
      <w:r>
        <w:rPr>
          <w:lang w:val="en-GB" w:eastAsia="zh-CN"/>
        </w:rPr>
        <w:t xml:space="preserve">or type 2 UE, i.e., UE without dynamic power sharing capability, a UE is allowed to transmit LTE PUSCH only in the UL subframes designated as UL in the DL-reference configuration. As depicted in </w:t>
      </w:r>
      <w:r>
        <w:rPr>
          <w:lang w:val="en-GB" w:eastAsia="zh-CN"/>
        </w:rPr>
        <w:fldChar w:fldCharType="begin"/>
      </w:r>
      <w:r>
        <w:rPr>
          <w:lang w:val="en-GB" w:eastAsia="zh-CN"/>
        </w:rPr>
        <w:instrText xml:space="preserve"> REF _Ref7184570 \h </w:instrText>
      </w:r>
      <w:r>
        <w:rPr>
          <w:lang w:val="en-GB" w:eastAsia="zh-CN"/>
        </w:rPr>
        <w:fldChar w:fldCharType="separate"/>
      </w:r>
      <w:r>
        <w:t>Figure 1</w:t>
      </w:r>
      <w:r>
        <w:rPr>
          <w:lang w:val="en-GB" w:eastAsia="zh-CN"/>
        </w:rPr>
        <w:fldChar w:fldCharType="end"/>
      </w:r>
      <w:r>
        <w:rPr>
          <w:lang w:val="en-GB" w:eastAsia="zh-CN"/>
        </w:rPr>
        <w:t>, assuming that TDD configuration #1 and DL-reference TDD configuration #2 are configured, UE is only allowed to transmit LTE PUSCH in Subframe#2 and Subframe#7. Basically, it’s the same behaviour as defined in Rel-15 for SUO for EN-DC with FDD PCell.</w:t>
      </w:r>
    </w:p>
    <w:p>
      <w:pPr>
        <w:jc w:val="center"/>
        <w:rPr>
          <w:lang w:val="en-GB" w:eastAsia="zh-CN"/>
        </w:rPr>
      </w:pPr>
      <w:r>
        <w:rPr>
          <w:lang w:eastAsia="zh-CN"/>
        </w:rPr>
        <w:drawing>
          <wp:inline distT="0" distB="0" distL="0" distR="0">
            <wp:extent cx="3108960" cy="1923415"/>
            <wp:effectExtent l="0" t="0" r="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3130157" cy="1936656"/>
                    </a:xfrm>
                    <a:prstGeom prst="rect">
                      <a:avLst/>
                    </a:prstGeom>
                    <a:noFill/>
                  </pic:spPr>
                </pic:pic>
              </a:graphicData>
            </a:graphic>
          </wp:inline>
        </w:drawing>
      </w:r>
    </w:p>
    <w:p>
      <w:pPr>
        <w:pStyle w:val="30"/>
        <w:jc w:val="center"/>
        <w:rPr>
          <w:lang w:val="en-GB" w:eastAsia="zh-CN"/>
        </w:rPr>
      </w:pPr>
      <w:bookmarkStart w:id="3" w:name="_Ref7184570"/>
      <w:r>
        <w:t xml:space="preserve">Figure </w:t>
      </w:r>
      <w:r>
        <w:fldChar w:fldCharType="begin"/>
      </w:r>
      <w:r>
        <w:instrText xml:space="preserve"> SEQ Figure \* ARABIC </w:instrText>
      </w:r>
      <w:r>
        <w:fldChar w:fldCharType="separate"/>
      </w:r>
      <w:r>
        <w:t>1</w:t>
      </w:r>
      <w:r>
        <w:fldChar w:fldCharType="end"/>
      </w:r>
      <w:bookmarkEnd w:id="3"/>
      <w:r>
        <w:t xml:space="preserve">. </w:t>
      </w:r>
      <w:r>
        <w:rPr>
          <w:b w:val="0"/>
          <w:lang w:val="en-GB" w:eastAsia="zh-CN"/>
        </w:rPr>
        <w:t xml:space="preserve">Type 2 UE: </w:t>
      </w:r>
      <w:r>
        <w:rPr>
          <w:rFonts w:hint="eastAsia"/>
          <w:b w:val="0"/>
          <w:lang w:val="en-GB" w:eastAsia="zh-CN"/>
        </w:rPr>
        <w:t>S</w:t>
      </w:r>
      <w:r>
        <w:rPr>
          <w:b w:val="0"/>
          <w:lang w:val="en-GB" w:eastAsia="zh-CN"/>
        </w:rPr>
        <w:t>UO operation for EN-DC with TDD PCell</w:t>
      </w:r>
    </w:p>
    <w:p>
      <w:pPr>
        <w:rPr>
          <w:lang w:val="en-GB" w:eastAsia="zh-CN"/>
        </w:rPr>
      </w:pPr>
      <w:r>
        <w:rPr>
          <w:lang w:val="en-GB" w:eastAsia="zh-CN"/>
        </w:rPr>
        <w:t>While for type 1 UE, although a UE is not expected to transmit on the MCG and SCG simultaneously, a UE is allowed to transmit LTE PUSCH and NR PUSCH in an arbitrary UL subframe. In this way, there is a high possibility that LTE PUSCH collides with NR PUSCH. This collision is detrimental to network performance.</w:t>
      </w:r>
    </w:p>
    <w:p>
      <w:pPr>
        <w:rPr>
          <w:lang w:val="en-GB" w:eastAsia="zh-CN"/>
        </w:rPr>
      </w:pPr>
      <w:r>
        <w:rPr>
          <w:rFonts w:hint="eastAsia"/>
          <w:lang w:val="en-GB" w:eastAsia="zh-CN"/>
        </w:rPr>
        <w:t>I</w:t>
      </w:r>
      <w:r>
        <w:rPr>
          <w:lang w:val="en-GB" w:eastAsia="zh-CN"/>
        </w:rPr>
        <w:t xml:space="preserve">f the collision happens in the UL subframes designated as UL in the DL-reference configuration, UE is expected to drop NR PUSCH. Take </w:t>
      </w:r>
      <w:r>
        <w:rPr>
          <w:lang w:val="en-GB" w:eastAsia="zh-CN"/>
        </w:rPr>
        <w:fldChar w:fldCharType="begin"/>
      </w:r>
      <w:r>
        <w:rPr>
          <w:lang w:val="en-GB" w:eastAsia="zh-CN"/>
        </w:rPr>
        <w:instrText xml:space="preserve"> REF _Ref4678159 \h </w:instrText>
      </w:r>
      <w:r>
        <w:rPr>
          <w:lang w:val="en-GB" w:eastAsia="zh-CN"/>
        </w:rPr>
        <w:fldChar w:fldCharType="separate"/>
      </w:r>
      <w:r>
        <w:t>Figure 2</w:t>
      </w:r>
      <w:r>
        <w:rPr>
          <w:lang w:val="en-GB" w:eastAsia="zh-CN"/>
        </w:rPr>
        <w:fldChar w:fldCharType="end"/>
      </w:r>
      <w:r>
        <w:rPr>
          <w:lang w:val="en-GB" w:eastAsia="zh-CN"/>
        </w:rPr>
        <w:t xml:space="preserve"> as an example, if LTE PUSCH and NR PUSCH collide in subframe 2 or subframe 7, then NR PUSCH is dropped. If the collision happens in the UL subframes other than the subframes designated as UL in the DL-reference configuration, i.e., in subframe 3 or subframe 8 as shown in </w:t>
      </w:r>
      <w:r>
        <w:rPr>
          <w:lang w:val="en-GB" w:eastAsia="zh-CN"/>
        </w:rPr>
        <w:fldChar w:fldCharType="begin"/>
      </w:r>
      <w:r>
        <w:rPr>
          <w:lang w:val="en-GB" w:eastAsia="zh-CN"/>
        </w:rPr>
        <w:instrText xml:space="preserve"> REF _Ref4678159 \h </w:instrText>
      </w:r>
      <w:r>
        <w:rPr>
          <w:lang w:val="en-GB" w:eastAsia="zh-CN"/>
        </w:rPr>
        <w:fldChar w:fldCharType="separate"/>
      </w:r>
      <w:r>
        <w:t>Figure 3</w:t>
      </w:r>
      <w:r>
        <w:rPr>
          <w:lang w:val="en-GB" w:eastAsia="zh-CN"/>
        </w:rPr>
        <w:fldChar w:fldCharType="end"/>
      </w:r>
      <w:r>
        <w:rPr>
          <w:lang w:val="en-GB" w:eastAsia="zh-CN"/>
        </w:rPr>
        <w:t>, the UE behaviour is still for further study. Below we further discuss how to tackle this issue.</w:t>
      </w:r>
    </w:p>
    <w:p>
      <w:pPr>
        <w:jc w:val="center"/>
        <w:rPr>
          <w:lang w:val="en-GB" w:eastAsia="zh-CN"/>
        </w:rPr>
      </w:pPr>
      <w:r>
        <w:rPr>
          <w:lang w:eastAsia="zh-CN"/>
        </w:rPr>
        <w:drawing>
          <wp:inline distT="0" distB="0" distL="0" distR="0">
            <wp:extent cx="4090035" cy="1902460"/>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4102184" cy="1908503"/>
                    </a:xfrm>
                    <a:prstGeom prst="rect">
                      <a:avLst/>
                    </a:prstGeom>
                    <a:noFill/>
                  </pic:spPr>
                </pic:pic>
              </a:graphicData>
            </a:graphic>
          </wp:inline>
        </w:drawing>
      </w:r>
    </w:p>
    <w:p>
      <w:pPr>
        <w:pStyle w:val="30"/>
        <w:jc w:val="center"/>
        <w:rPr>
          <w:b w:val="0"/>
          <w:lang w:val="en-GB" w:eastAsia="zh-CN"/>
        </w:rPr>
      </w:pPr>
      <w:bookmarkStart w:id="4" w:name="_Ref4678159"/>
      <w:r>
        <w:t xml:space="preserve">Figure </w:t>
      </w:r>
      <w:r>
        <w:fldChar w:fldCharType="begin"/>
      </w:r>
      <w:r>
        <w:instrText xml:space="preserve"> SEQ Figure \* ARABIC </w:instrText>
      </w:r>
      <w:r>
        <w:fldChar w:fldCharType="separate"/>
      </w:r>
      <w:r>
        <w:t>2</w:t>
      </w:r>
      <w:r>
        <w:fldChar w:fldCharType="end"/>
      </w:r>
      <w:bookmarkEnd w:id="4"/>
      <w:r>
        <w:t xml:space="preserve">. </w:t>
      </w:r>
      <w:r>
        <w:rPr>
          <w:b w:val="0"/>
          <w:lang w:val="en-GB" w:eastAsia="zh-CN"/>
        </w:rPr>
        <w:t>Type 1 UE: collision between LTE PUSCH and NR PUSCH</w:t>
      </w:r>
    </w:p>
    <w:p>
      <w:pPr>
        <w:pStyle w:val="114"/>
        <w:numPr>
          <w:ilvl w:val="0"/>
          <w:numId w:val="16"/>
        </w:numPr>
        <w:rPr>
          <w:lang w:eastAsia="zh-CN"/>
        </w:rPr>
      </w:pPr>
      <w:r>
        <w:rPr>
          <w:rFonts w:hint="eastAsia"/>
          <w:lang w:eastAsia="zh-CN"/>
        </w:rPr>
        <w:t>D</w:t>
      </w:r>
      <w:r>
        <w:rPr>
          <w:lang w:eastAsia="zh-CN"/>
        </w:rPr>
        <w:t>rop NR PUSCH</w:t>
      </w:r>
    </w:p>
    <w:p>
      <w:pPr>
        <w:rPr>
          <w:lang w:eastAsia="zh-CN"/>
        </w:rPr>
      </w:pPr>
      <w:r>
        <w:rPr>
          <w:lang w:val="en-GB" w:eastAsia="zh-CN"/>
        </w:rPr>
        <w:t xml:space="preserve">It has been agreed that if </w:t>
      </w:r>
      <w:r>
        <w:rPr>
          <w:lang w:eastAsia="zh-CN"/>
        </w:rPr>
        <w:t xml:space="preserve">LTE PUSCH and NR PUSCH collide in subframes designated as UL in the DL-reference configuration, </w:t>
      </w:r>
      <w:r>
        <w:rPr>
          <w:rFonts w:hint="eastAsia"/>
          <w:lang w:eastAsia="zh-CN"/>
        </w:rPr>
        <w:t xml:space="preserve">a </w:t>
      </w:r>
      <w:r>
        <w:rPr>
          <w:lang w:eastAsia="zh-CN"/>
        </w:rPr>
        <w:t xml:space="preserve">UE is expected to drop NR PUSCH. </w:t>
      </w:r>
    </w:p>
    <w:p>
      <w:pPr>
        <w:rPr>
          <w:lang w:eastAsia="zh-CN"/>
        </w:rPr>
      </w:pPr>
      <w:r>
        <w:rPr>
          <w:lang w:eastAsia="zh-CN"/>
        </w:rPr>
        <w:t xml:space="preserve">In this case, if LTE PUSCH and NR PUSCH collide in subframes other than the subframes designated as UL in the DL-reference configuration and </w:t>
      </w:r>
      <w:r>
        <w:rPr>
          <w:rFonts w:hint="eastAsia"/>
          <w:lang w:eastAsia="zh-CN"/>
        </w:rPr>
        <w:t xml:space="preserve">a </w:t>
      </w:r>
      <w:r>
        <w:rPr>
          <w:lang w:eastAsia="zh-CN"/>
        </w:rPr>
        <w:t>UE is also expected to drop NR PUSCH, it means if there is collision between LTE PUSCH and NR PUSCH, a UE is always expected to drop NR PUSCH. If there is high traffic load in LTE, NR PUSCH has a high probability of being dropped if there is no tight coordination between LTE and NR at the network side. This will cause undesirable NR system performance loss. This not only impacts UL performance but also affects DL performance if HARQ or CSI feedback of NR carrier is always dropped.</w:t>
      </w:r>
    </w:p>
    <w:p>
      <w:pPr>
        <w:rPr>
          <w:lang w:eastAsia="zh-CN"/>
        </w:rPr>
      </w:pPr>
      <w:r>
        <w:rPr>
          <w:lang w:eastAsia="zh-CN"/>
        </w:rPr>
        <w:t>If there is low traffic load, the system performance loss may be negligible since the collision probability may not be very high. However, EN-DC is mainly used in the high traffic load scenarios. If traffic load is not very high, there is no need to configure dual connectivity for this UE. For EN-DC, always dropping NR PUSCH in case of collision will cause undesirable performance loss in NR side.</w:t>
      </w:r>
    </w:p>
    <w:p>
      <w:pPr>
        <w:rPr>
          <w:i/>
          <w:lang w:eastAsia="zh-CN"/>
        </w:rPr>
      </w:pPr>
      <w:r>
        <w:rPr>
          <w:b/>
          <w:i/>
          <w:lang w:eastAsia="zh-CN"/>
        </w:rPr>
        <w:t>Observation 1</w:t>
      </w:r>
      <w:r>
        <w:rPr>
          <w:i/>
          <w:lang w:eastAsia="zh-CN"/>
        </w:rPr>
        <w:t>: For SUO with EN-DC, always dropping NR PUSCH in case of collision will cause undesirable performance loss in NR side.</w:t>
      </w:r>
    </w:p>
    <w:p>
      <w:pPr>
        <w:pStyle w:val="114"/>
        <w:numPr>
          <w:ilvl w:val="0"/>
          <w:numId w:val="16"/>
        </w:numPr>
        <w:rPr>
          <w:lang w:eastAsia="zh-CN"/>
        </w:rPr>
      </w:pPr>
      <w:r>
        <w:rPr>
          <w:rFonts w:hint="eastAsia"/>
          <w:lang w:eastAsia="zh-CN"/>
        </w:rPr>
        <w:t>D</w:t>
      </w:r>
      <w:r>
        <w:rPr>
          <w:lang w:eastAsia="zh-CN"/>
        </w:rPr>
        <w:t>rop LTE PUSCH</w:t>
      </w:r>
    </w:p>
    <w:p>
      <w:pPr>
        <w:rPr>
          <w:lang w:val="en-GB" w:eastAsia="zh-CN"/>
        </w:rPr>
      </w:pPr>
      <w:r>
        <w:rPr>
          <w:lang w:eastAsia="zh-CN"/>
        </w:rPr>
        <w:t xml:space="preserve">If LTE PUSCH and NR PUSCH collide in subframes other than the subframes designated as UL in the DL-reference configuration, a UE is expected to drop LTE PUSCH. </w:t>
      </w:r>
      <w:r>
        <w:rPr>
          <w:rFonts w:hint="eastAsia"/>
          <w:lang w:val="en-GB" w:eastAsia="zh-CN"/>
        </w:rPr>
        <w:t>T</w:t>
      </w:r>
      <w:r>
        <w:rPr>
          <w:lang w:val="en-GB" w:eastAsia="zh-CN"/>
        </w:rPr>
        <w:t>his is a reasonable method as both LTE and NR won’t experience severe performance loss. However, the scheduling delay in LTE is 4ms and the scheduling delay in NR could be much smaller than LTE. If UE realizes that the later scheduled NR PUSCH collides with a LTE PUSCH, there may not be sufficient time for UE to cancel LTE PUSCH transmission.</w:t>
      </w:r>
    </w:p>
    <w:p>
      <w:pPr>
        <w:rPr>
          <w:lang w:val="en-GB" w:eastAsia="zh-CN"/>
        </w:rPr>
      </w:pPr>
      <w:r>
        <w:rPr>
          <w:lang w:val="en-GB" w:eastAsia="zh-CN"/>
        </w:rPr>
        <w:t xml:space="preserve">One solution for this issue is to always drop the PUSCH whose grant arrives later. As depicted in </w:t>
      </w:r>
      <w:r>
        <w:rPr>
          <w:lang w:val="en-GB" w:eastAsia="zh-CN"/>
        </w:rPr>
        <w:fldChar w:fldCharType="begin"/>
      </w:r>
      <w:r>
        <w:rPr>
          <w:lang w:val="en-GB" w:eastAsia="zh-CN"/>
        </w:rPr>
        <w:instrText xml:space="preserve"> REF _Ref4681008 \h </w:instrText>
      </w:r>
      <w:r>
        <w:rPr>
          <w:lang w:val="en-GB" w:eastAsia="zh-CN"/>
        </w:rPr>
        <w:fldChar w:fldCharType="separate"/>
      </w:r>
      <w:r>
        <w:t>Figure 3</w:t>
      </w:r>
      <w:r>
        <w:rPr>
          <w:lang w:val="en-GB" w:eastAsia="zh-CN"/>
        </w:rPr>
        <w:fldChar w:fldCharType="end"/>
      </w:r>
      <w:r>
        <w:rPr>
          <w:lang w:val="en-GB" w:eastAsia="zh-CN"/>
        </w:rPr>
        <w:t xml:space="preserve">, if the NR PUSCH grant arrives later than the LTE PUSCH grant, then </w:t>
      </w:r>
      <w:r>
        <w:rPr>
          <w:rFonts w:hint="eastAsia"/>
          <w:lang w:eastAsia="zh-CN"/>
        </w:rPr>
        <w:t xml:space="preserve">the </w:t>
      </w:r>
      <w:r>
        <w:rPr>
          <w:lang w:val="en-GB" w:eastAsia="zh-CN"/>
        </w:rPr>
        <w:t xml:space="preserve">UE is expected to drop NR PUSCH. If the NR PUSCH grant arrives not later than the LTE PUSCH grant, </w:t>
      </w:r>
      <w:r>
        <w:rPr>
          <w:rFonts w:hint="eastAsia"/>
          <w:lang w:eastAsia="zh-CN"/>
        </w:rPr>
        <w:t xml:space="preserve">the </w:t>
      </w:r>
      <w:r>
        <w:rPr>
          <w:lang w:val="en-GB" w:eastAsia="zh-CN"/>
        </w:rPr>
        <w:t>UE is expected to drop LTE PUSCH. In this way, if the NR PUSCH scheduling delay (i.e., K0) is larger than 4 ms, the NR PUSCH can be guaranteed. While if the NR PUSCH scheduling delay is smaller than 4 ms, the NR PUSCH may be dropped by UE. Although this may incur extra delay for NR, it can at least have the possibility for NR carrier to guarantee NR PUSCH transmission. When the load of LTE is high, NR carrier can choose this longer scheduling delay so that it can guarantee NR PUSCH transmission. Otherwise, NR carrier can still choose shorter scheduling delay when the probability of collision is not high.</w:t>
      </w:r>
    </w:p>
    <w:p>
      <w:pPr>
        <w:rPr>
          <w:i/>
          <w:lang w:eastAsia="zh-CN"/>
        </w:rPr>
      </w:pPr>
      <w:r>
        <w:rPr>
          <w:b/>
          <w:i/>
          <w:lang w:eastAsia="zh-CN"/>
        </w:rPr>
        <w:t>Proposal 6</w:t>
      </w:r>
      <w:r>
        <w:rPr>
          <w:i/>
          <w:lang w:eastAsia="zh-CN"/>
        </w:rPr>
        <w:t xml:space="preserve">: For SUO with EN-DC in case of collision, if the NR PUSCH grant arrives later than the LTE PUSCH grant, </w:t>
      </w:r>
      <w:r>
        <w:rPr>
          <w:rFonts w:hint="eastAsia"/>
          <w:i/>
          <w:lang w:eastAsia="zh-CN"/>
        </w:rPr>
        <w:t xml:space="preserve">a </w:t>
      </w:r>
      <w:r>
        <w:rPr>
          <w:i/>
          <w:lang w:eastAsia="zh-CN"/>
        </w:rPr>
        <w:t>UE is expected to drop NR PUSCH;</w:t>
      </w:r>
      <w:r>
        <w:rPr>
          <w:rFonts w:hint="eastAsia"/>
          <w:i/>
          <w:lang w:eastAsia="zh-CN"/>
        </w:rPr>
        <w:t xml:space="preserve"> </w:t>
      </w:r>
      <w:r>
        <w:rPr>
          <w:i/>
          <w:lang w:eastAsia="zh-CN"/>
        </w:rPr>
        <w:t xml:space="preserve">otherwise, </w:t>
      </w:r>
      <w:r>
        <w:rPr>
          <w:rFonts w:hint="eastAsia"/>
          <w:i/>
          <w:lang w:eastAsia="zh-CN"/>
        </w:rPr>
        <w:t xml:space="preserve">the </w:t>
      </w:r>
      <w:r>
        <w:rPr>
          <w:i/>
          <w:lang w:eastAsia="zh-CN"/>
        </w:rPr>
        <w:t>UE is expected to drop LTE PUSCH.</w:t>
      </w:r>
    </w:p>
    <w:p>
      <w:pPr>
        <w:jc w:val="center"/>
        <w:rPr>
          <w:lang w:val="en-GB" w:eastAsia="zh-CN"/>
        </w:rPr>
      </w:pPr>
      <w:r>
        <w:rPr>
          <w:lang w:eastAsia="zh-CN"/>
        </w:rPr>
        <w:drawing>
          <wp:inline distT="0" distB="0" distL="0" distR="0">
            <wp:extent cx="5146040" cy="158369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5182641" cy="1595349"/>
                    </a:xfrm>
                    <a:prstGeom prst="rect">
                      <a:avLst/>
                    </a:prstGeom>
                    <a:noFill/>
                  </pic:spPr>
                </pic:pic>
              </a:graphicData>
            </a:graphic>
          </wp:inline>
        </w:drawing>
      </w:r>
    </w:p>
    <w:p>
      <w:pPr>
        <w:pStyle w:val="30"/>
        <w:jc w:val="center"/>
        <w:rPr>
          <w:b w:val="0"/>
          <w:lang w:val="en-GB" w:eastAsia="zh-CN"/>
        </w:rPr>
      </w:pPr>
      <w:bookmarkStart w:id="5" w:name="_Ref4681008"/>
      <w:r>
        <w:t xml:space="preserve">Figure </w:t>
      </w:r>
      <w:r>
        <w:fldChar w:fldCharType="begin"/>
      </w:r>
      <w:r>
        <w:instrText xml:space="preserve"> SEQ Figure \* ARABIC </w:instrText>
      </w:r>
      <w:r>
        <w:fldChar w:fldCharType="separate"/>
      </w:r>
      <w:r>
        <w:t>3</w:t>
      </w:r>
      <w:r>
        <w:fldChar w:fldCharType="end"/>
      </w:r>
      <w:bookmarkEnd w:id="5"/>
      <w:r>
        <w:t xml:space="preserve">. </w:t>
      </w:r>
      <w:r>
        <w:rPr>
          <w:b w:val="0"/>
          <w:lang w:val="en-GB" w:eastAsia="zh-CN"/>
        </w:rPr>
        <w:t>In case of collision, drop PUSCH corresponding to the later arrived grant</w:t>
      </w:r>
    </w:p>
    <w:p>
      <w:pPr>
        <w:rPr>
          <w:lang w:val="en-GB" w:eastAsia="zh-CN"/>
        </w:rPr>
      </w:pPr>
      <w:r>
        <w:rPr>
          <w:lang w:val="en-GB" w:eastAsia="zh-CN"/>
        </w:rPr>
        <w:t>All the NR PUCCH resources are semi-statically configured by RRC, the LTE modem in UE is expected to get this semi-static RRC configuration from NR side. If a LTE PUSCH collides with NR PUCCH resources, a UE is expected to drop LTE PUSCH. Since dropping NR PUCCH is likely to greatly impact NR DL performance, which is against the goal of DC, i.e., improving DL performance. Thus, we propose that a UE is expected to drop LTE PUSCH if this LTE PUSCH collides with NR PUCCH resources configured by RRC</w:t>
      </w:r>
      <w:r>
        <w:rPr>
          <w:rFonts w:hint="eastAsia"/>
          <w:lang w:eastAsia="zh-CN"/>
        </w:rPr>
        <w:t xml:space="preserve"> even if there is no actual transmission in this PUCCH resources</w:t>
      </w:r>
      <w:r>
        <w:rPr>
          <w:lang w:val="en-GB" w:eastAsia="zh-CN"/>
        </w:rPr>
        <w:t>.</w:t>
      </w:r>
    </w:p>
    <w:p>
      <w:pPr>
        <w:rPr>
          <w:i/>
          <w:lang w:val="en-GB" w:eastAsia="zh-CN"/>
        </w:rPr>
      </w:pPr>
      <w:r>
        <w:rPr>
          <w:b/>
          <w:i/>
          <w:lang w:val="en-GB" w:eastAsia="zh-CN"/>
        </w:rPr>
        <w:t xml:space="preserve">Proposal </w:t>
      </w:r>
      <w:r>
        <w:rPr>
          <w:b/>
          <w:i/>
          <w:lang w:eastAsia="zh-CN"/>
        </w:rPr>
        <w:t>7</w:t>
      </w:r>
      <w:r>
        <w:rPr>
          <w:i/>
          <w:lang w:val="en-GB" w:eastAsia="zh-CN"/>
        </w:rPr>
        <w:t>: A UE is expected to drop LTE PUSCH if this LTE PUSCH collides with NR PUCCH resources configured by RRC</w:t>
      </w:r>
      <w:r>
        <w:rPr>
          <w:rFonts w:hint="eastAsia"/>
          <w:i/>
          <w:lang w:eastAsia="zh-CN"/>
        </w:rPr>
        <w:t xml:space="preserve"> even if there is no actual transmission in this PUCCH resources</w:t>
      </w:r>
      <w:r>
        <w:rPr>
          <w:i/>
          <w:lang w:val="en-GB" w:eastAsia="zh-CN"/>
        </w:rPr>
        <w:t>.</w:t>
      </w:r>
    </w:p>
    <w:p>
      <w:pPr>
        <w:pStyle w:val="3"/>
        <w:rPr>
          <w:lang w:eastAsia="zh-CN"/>
        </w:rPr>
      </w:pPr>
      <w:r>
        <w:rPr>
          <w:lang w:eastAsia="zh-CN"/>
        </w:rPr>
        <w:t>Switching time of LTE UL and NR UL</w:t>
      </w:r>
    </w:p>
    <w:p>
      <w:pPr>
        <w:rPr>
          <w:lang w:val="en-GB" w:eastAsia="zh-CN"/>
        </w:rPr>
      </w:pPr>
      <w:r>
        <w:rPr>
          <w:rFonts w:hint="eastAsia"/>
          <w:lang w:val="en-GB" w:eastAsia="zh-CN"/>
        </w:rPr>
        <w:t>D</w:t>
      </w:r>
      <w:r>
        <w:rPr>
          <w:lang w:val="en-GB" w:eastAsia="zh-CN"/>
        </w:rPr>
        <w:t xml:space="preserve">uring RAN1#96bis, company raised an issue that the switching time between LTE UL and NR UL is not negligible for SUO UE with single PA </w:t>
      </w:r>
      <w:r>
        <w:rPr>
          <w:lang w:val="en-GB" w:eastAsia="zh-CN"/>
        </w:rPr>
        <w:fldChar w:fldCharType="begin"/>
      </w:r>
      <w:r>
        <w:rPr>
          <w:lang w:val="en-GB" w:eastAsia="zh-CN"/>
        </w:rPr>
        <w:instrText xml:space="preserve"> REF _Ref7030886 \r \h </w:instrText>
      </w:r>
      <w:r>
        <w:rPr>
          <w:lang w:val="en-GB" w:eastAsia="zh-CN"/>
        </w:rPr>
        <w:fldChar w:fldCharType="separate"/>
      </w:r>
      <w:r>
        <w:rPr>
          <w:lang w:val="en-GB" w:eastAsia="zh-CN"/>
        </w:rPr>
        <w:t>[3]</w:t>
      </w:r>
      <w:r>
        <w:rPr>
          <w:lang w:val="en-GB" w:eastAsia="zh-CN"/>
        </w:rPr>
        <w:fldChar w:fldCharType="end"/>
      </w:r>
      <w:r>
        <w:rPr>
          <w:lang w:val="en-GB" w:eastAsia="zh-CN"/>
        </w:rPr>
        <w:fldChar w:fldCharType="begin"/>
      </w:r>
      <w:r>
        <w:rPr>
          <w:lang w:val="en-GB" w:eastAsia="zh-CN"/>
        </w:rPr>
        <w:instrText xml:space="preserve"> REF _Ref7030887 \r \h </w:instrText>
      </w:r>
      <w:r>
        <w:rPr>
          <w:lang w:val="en-GB" w:eastAsia="zh-CN"/>
        </w:rPr>
        <w:fldChar w:fldCharType="end"/>
      </w:r>
      <w:r>
        <w:rPr>
          <w:lang w:val="en-GB" w:eastAsia="zh-CN"/>
        </w:rPr>
        <w:t>. According to TS 38.101-3, the uplink switching time for a UE incapable of dual PA is 120 us, which is of about 2 symbols length in 15KHz numerology. One potential solution has been proposed.</w:t>
      </w:r>
    </w:p>
    <w:p>
      <w:pPr>
        <w:rPr>
          <w:lang w:val="en-GB" w:eastAsia="zh-CN"/>
        </w:rPr>
      </w:pPr>
      <w:r>
        <w:rPr>
          <w:lang w:val="en-GB" w:eastAsia="zh-CN"/>
        </w:rPr>
        <w:t xml:space="preserve">The solution is that for type 1 UE incapable of dual PA, LTE PUSCH is only allowed in the UL subframes designated as UL in DL-reference configuration </w:t>
      </w:r>
      <w:r>
        <w:rPr>
          <w:lang w:val="en-GB" w:eastAsia="zh-CN"/>
        </w:rPr>
        <w:fldChar w:fldCharType="begin"/>
      </w:r>
      <w:r>
        <w:rPr>
          <w:lang w:val="en-GB" w:eastAsia="zh-CN"/>
        </w:rPr>
        <w:instrText xml:space="preserve"> REF _Ref7030886 \r \h </w:instrText>
      </w:r>
      <w:r>
        <w:rPr>
          <w:lang w:val="en-GB" w:eastAsia="zh-CN"/>
        </w:rPr>
        <w:fldChar w:fldCharType="separate"/>
      </w:r>
      <w:r>
        <w:rPr>
          <w:lang w:val="en-GB" w:eastAsia="zh-CN"/>
        </w:rPr>
        <w:t>[3]</w:t>
      </w:r>
      <w:r>
        <w:rPr>
          <w:lang w:val="en-GB" w:eastAsia="zh-CN"/>
        </w:rPr>
        <w:fldChar w:fldCharType="end"/>
      </w:r>
      <w:r>
        <w:rPr>
          <w:lang w:val="en-GB" w:eastAsia="zh-CN"/>
        </w:rPr>
        <w:t xml:space="preserve">. If LTE PUSCH is restricted within UL subframes designated as UL in DL-reference configuration, it is beneficial for network to avoid the impact of uplink switching time by scheduling in NR side. Take </w:t>
      </w:r>
      <w:r>
        <w:rPr>
          <w:lang w:val="en-GB" w:eastAsia="zh-CN"/>
        </w:rPr>
        <w:fldChar w:fldCharType="begin"/>
      </w:r>
      <w:r>
        <w:rPr>
          <w:lang w:val="en-GB" w:eastAsia="zh-CN"/>
        </w:rPr>
        <w:instrText xml:space="preserve"> REF _Ref7184570 \h </w:instrText>
      </w:r>
      <w:r>
        <w:rPr>
          <w:lang w:val="en-GB" w:eastAsia="zh-CN"/>
        </w:rPr>
        <w:fldChar w:fldCharType="separate"/>
      </w:r>
      <w:r>
        <w:t>Figure 2</w:t>
      </w:r>
      <w:r>
        <w:rPr>
          <w:lang w:val="en-GB" w:eastAsia="zh-CN"/>
        </w:rPr>
        <w:fldChar w:fldCharType="end"/>
      </w:r>
      <w:r>
        <w:rPr>
          <w:lang w:val="en-GB" w:eastAsia="zh-CN"/>
        </w:rPr>
        <w:t xml:space="preserve"> as an example, if LTE PUSCH is restricted to Subframe#2 and Subfram#7, NR can reserve the first two symbols in the Subframe#3 and Subframe#8 for uplink switching.</w:t>
      </w:r>
    </w:p>
    <w:p>
      <w:pPr>
        <w:rPr>
          <w:i/>
          <w:lang w:val="en-GB" w:eastAsia="zh-CN"/>
        </w:rPr>
      </w:pPr>
      <w:r>
        <w:rPr>
          <w:b/>
          <w:i/>
          <w:lang w:val="en-GB" w:eastAsia="zh-CN"/>
        </w:rPr>
        <w:t xml:space="preserve">Proposal </w:t>
      </w:r>
      <w:r>
        <w:rPr>
          <w:b/>
          <w:i/>
          <w:lang w:eastAsia="zh-CN"/>
        </w:rPr>
        <w:t>8</w:t>
      </w:r>
      <w:r>
        <w:rPr>
          <w:i/>
          <w:lang w:val="en-GB" w:eastAsia="zh-CN"/>
        </w:rPr>
        <w:t>: For type 1 UE incapable of dual PA, LTE PUSCH is only allowed in the UL subframes designated as UL in the DL-reference configuration.</w:t>
      </w:r>
    </w:p>
    <w:p>
      <w:pPr>
        <w:pStyle w:val="3"/>
        <w:rPr>
          <w:lang w:eastAsia="zh-CN"/>
        </w:rPr>
      </w:pPr>
      <w:r>
        <w:rPr>
          <w:rFonts w:hint="eastAsia"/>
          <w:lang w:eastAsia="zh-CN"/>
        </w:rPr>
        <w:t>P</w:t>
      </w:r>
      <w:r>
        <w:rPr>
          <w:lang w:eastAsia="zh-CN"/>
        </w:rPr>
        <w:t>RACH and SRS transmission</w:t>
      </w:r>
    </w:p>
    <w:p>
      <w:pPr>
        <w:rPr>
          <w:lang w:val="en-GB" w:eastAsia="zh-CN"/>
        </w:rPr>
      </w:pPr>
      <w:r>
        <w:rPr>
          <w:rFonts w:hint="eastAsia"/>
          <w:lang w:val="en-GB" w:eastAsia="zh-CN"/>
        </w:rPr>
        <w:t>I</w:t>
      </w:r>
      <w:r>
        <w:rPr>
          <w:lang w:val="en-GB" w:eastAsia="zh-CN"/>
        </w:rPr>
        <w:t>n Rel-15, for SUO with LTE FDD PCell, we have the following agreements on PRACH and SRS transmission. According to this agreements, a UE is only allowed to transmit LTE PRACH and SRS in the UL subframes designated as UL in DL-reference configuration.</w:t>
      </w:r>
    </w:p>
    <w:tbl>
      <w:tblPr>
        <w:tblStyle w:val="59"/>
        <w:tblW w:w="9700" w:type="dxa"/>
        <w:tblInd w:w="8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700" w:type="dxa"/>
          </w:tcPr>
          <w:p>
            <w:pPr>
              <w:spacing w:before="120" w:after="0" w:line="240" w:lineRule="auto"/>
              <w:jc w:val="left"/>
              <w:rPr>
                <w:rFonts w:ascii="New York" w:hAnsi="New York"/>
                <w:highlight w:val="green"/>
                <w:lang w:eastAsia="zh-CN"/>
              </w:rPr>
            </w:pPr>
            <w:r>
              <w:rPr>
                <w:rFonts w:ascii="New York" w:hAnsi="New York"/>
                <w:highlight w:val="green"/>
                <w:lang w:eastAsia="zh-CN"/>
              </w:rPr>
              <w:t>Agreement: (RAN1#90b)</w:t>
            </w:r>
          </w:p>
          <w:p>
            <w:pPr>
              <w:numPr>
                <w:ilvl w:val="0"/>
                <w:numId w:val="17"/>
              </w:numPr>
              <w:spacing w:before="120" w:after="0" w:line="240" w:lineRule="auto"/>
              <w:jc w:val="left"/>
              <w:rPr>
                <w:rFonts w:ascii="New York" w:hAnsi="New York"/>
                <w:lang w:eastAsia="zh-CN"/>
              </w:rPr>
            </w:pPr>
            <w:r>
              <w:rPr>
                <w:rFonts w:ascii="New York" w:hAnsi="New York"/>
                <w:lang w:eastAsia="zh-CN"/>
              </w:rPr>
              <w:t>For Case 1, FDD timing configuration (i.e., periodicity and offset) is applied to LTE PRACH and SRS on LTE UL carriers.</w:t>
            </w:r>
          </w:p>
          <w:p>
            <w:pPr>
              <w:numPr>
                <w:ilvl w:val="0"/>
                <w:numId w:val="17"/>
              </w:numPr>
              <w:spacing w:before="120" w:after="0" w:line="240" w:lineRule="auto"/>
              <w:jc w:val="left"/>
              <w:rPr>
                <w:rFonts w:ascii="New York" w:hAnsi="New York"/>
                <w:lang w:eastAsia="zh-CN"/>
              </w:rPr>
            </w:pPr>
            <w:r>
              <w:rPr>
                <w:rFonts w:ascii="New York" w:hAnsi="New York"/>
                <w:lang w:eastAsia="zh-CN"/>
              </w:rPr>
              <w:t>The UE is not required to support transmission of LTE PRACH or SRS transmission which does not coincide with the configured HARQ-ACK transmission occasions</w:t>
            </w:r>
          </w:p>
        </w:tc>
      </w:tr>
    </w:tbl>
    <w:p>
      <w:pPr>
        <w:rPr>
          <w:lang w:val="en-GB" w:eastAsia="zh-CN"/>
        </w:rPr>
      </w:pPr>
    </w:p>
    <w:p>
      <w:pPr>
        <w:rPr>
          <w:lang w:val="en-GB" w:eastAsia="zh-CN"/>
        </w:rPr>
      </w:pPr>
      <w:r>
        <w:rPr>
          <w:lang w:val="en-GB" w:eastAsia="zh-CN"/>
        </w:rPr>
        <w:t>One of the reasons that LTE restricts that LTE PRACH and SRS only transmit in the UL subframes designated as UL in DL-reference configuration is to prevent LTE PRACH and SRS colliding with NR uplink transmission. If the LTE PRACH and SRS transmission are impacted due to collision, the NR system performance will definitely experience a huge performance loss. In this case, there is no necessity and no gain to configure EN-DC for UE.</w:t>
      </w:r>
    </w:p>
    <w:p>
      <w:pPr>
        <w:rPr>
          <w:lang w:val="en-GB" w:eastAsia="zh-CN"/>
        </w:rPr>
      </w:pPr>
      <w:r>
        <w:rPr>
          <w:rFonts w:hint="eastAsia"/>
          <w:lang w:val="en-GB" w:eastAsia="zh-CN"/>
        </w:rPr>
        <w:t>A</w:t>
      </w:r>
      <w:r>
        <w:rPr>
          <w:lang w:val="en-GB" w:eastAsia="zh-CN"/>
        </w:rPr>
        <w:t>s for Rel-16 SUO for EN-DC with LTE TDD PCell, it is preferred to keep the same restriction for LTE PRACH and SRS, i.e., LTE PRACH and SRS transmission are only allowed to transmit in the subframes designated as UL in DL-reference configuration.</w:t>
      </w:r>
    </w:p>
    <w:p>
      <w:pPr>
        <w:rPr>
          <w:lang w:val="en-GB" w:eastAsia="zh-CN"/>
        </w:rPr>
      </w:pPr>
      <w:r>
        <w:rPr>
          <w:b/>
          <w:i/>
          <w:lang w:val="en-GB" w:eastAsia="zh-CN"/>
        </w:rPr>
        <w:t xml:space="preserve">Proposal </w:t>
      </w:r>
      <w:r>
        <w:rPr>
          <w:b/>
          <w:i/>
          <w:lang w:eastAsia="zh-CN"/>
        </w:rPr>
        <w:t>9</w:t>
      </w:r>
      <w:r>
        <w:rPr>
          <w:i/>
          <w:lang w:val="en-GB" w:eastAsia="zh-CN"/>
        </w:rPr>
        <w:t>: For Rel-16 SUO for EN-DC with LTE TDD PCell, LTE PRACH and SRS transmission are only allowed to transmit in the subframes designated as UL in DL-reference configuration.</w:t>
      </w:r>
    </w:p>
    <w:p>
      <w:pPr>
        <w:pStyle w:val="2"/>
        <w:rPr>
          <w:lang w:eastAsia="zh-CN"/>
        </w:rPr>
      </w:pPr>
      <w:r>
        <w:rPr>
          <w:rFonts w:hint="eastAsia"/>
          <w:lang w:eastAsia="zh-CN"/>
        </w:rPr>
        <w:t>C</w:t>
      </w:r>
      <w:r>
        <w:rPr>
          <w:lang w:eastAsia="zh-CN"/>
        </w:rPr>
        <w:t>onclusion</w:t>
      </w:r>
    </w:p>
    <w:p>
      <w:pPr>
        <w:rPr>
          <w:lang w:val="en-GB" w:eastAsia="zh-CN"/>
        </w:rPr>
      </w:pPr>
      <w:r>
        <w:rPr>
          <w:rFonts w:hint="eastAsia"/>
          <w:lang w:val="en-GB" w:eastAsia="zh-CN"/>
        </w:rPr>
        <w:t>T</w:t>
      </w:r>
      <w:r>
        <w:rPr>
          <w:lang w:val="en-GB" w:eastAsia="zh-CN"/>
        </w:rPr>
        <w:t>o sum up, the following observations and proposals are presented in this contribution.</w:t>
      </w:r>
    </w:p>
    <w:p>
      <w:pPr>
        <w:rPr>
          <w:i/>
          <w:lang w:eastAsia="zh-CN"/>
        </w:rPr>
      </w:pPr>
      <w:r>
        <w:rPr>
          <w:b/>
          <w:i/>
          <w:lang w:eastAsia="zh-CN"/>
        </w:rPr>
        <w:t>Observation 1</w:t>
      </w:r>
      <w:r>
        <w:rPr>
          <w:i/>
          <w:lang w:eastAsia="zh-CN"/>
        </w:rPr>
        <w:t>: For SUO with EN-DC, always dropping NR PUSCH in case of collision will cause undesirable performance loss in NR side.</w:t>
      </w:r>
    </w:p>
    <w:p>
      <w:pPr>
        <w:rPr>
          <w:i/>
          <w:iCs/>
          <w:lang w:eastAsia="zh-CN"/>
        </w:rPr>
      </w:pPr>
      <w:r>
        <w:rPr>
          <w:rFonts w:hint="eastAsia"/>
          <w:b/>
          <w:bCs/>
          <w:i/>
          <w:iCs/>
          <w:lang w:eastAsia="zh-CN"/>
        </w:rPr>
        <w:t>Proposal 1</w:t>
      </w:r>
      <w:r>
        <w:rPr>
          <w:rFonts w:hint="eastAsia"/>
          <w:i/>
          <w:iCs/>
          <w:lang w:eastAsia="zh-CN"/>
        </w:rPr>
        <w:t>: In order to reduce the implementation impact of the ongoing Rel-15 SUO for EN-DC with LTE FDD PCell, it</w:t>
      </w:r>
      <w:r>
        <w:rPr>
          <w:i/>
          <w:iCs/>
          <w:lang w:eastAsia="zh-CN"/>
        </w:rPr>
        <w:t>’</w:t>
      </w:r>
      <w:r>
        <w:rPr>
          <w:rFonts w:hint="eastAsia"/>
          <w:i/>
          <w:iCs/>
          <w:lang w:eastAsia="zh-CN"/>
        </w:rPr>
        <w:t>s desirable to reuse the Rel-15 SUO mechanism for dual Tx UEs.</w:t>
      </w:r>
    </w:p>
    <w:p>
      <w:pPr>
        <w:rPr>
          <w:i/>
          <w:lang w:eastAsia="zh-CN"/>
        </w:rPr>
      </w:pPr>
      <w:r>
        <w:rPr>
          <w:b/>
          <w:i/>
          <w:lang w:eastAsia="zh-CN"/>
        </w:rPr>
        <w:t>Proposal 2</w:t>
      </w:r>
      <w:r>
        <w:rPr>
          <w:i/>
          <w:lang w:eastAsia="zh-CN"/>
        </w:rPr>
        <w:t>: Both Case 1 and Case 2 HARQ timing are supported for dual Tx UEs to realize single uplink in Rel-16. Network configures either Case 1 or Case 2 HARQ timing for UE via RRC signaling.</w:t>
      </w:r>
    </w:p>
    <w:p>
      <w:pPr>
        <w:rPr>
          <w:i/>
          <w:lang w:eastAsia="zh-CN"/>
        </w:rPr>
      </w:pPr>
      <w:r>
        <w:rPr>
          <w:b/>
          <w:i/>
          <w:lang w:eastAsia="zh-CN"/>
        </w:rPr>
        <w:t>Proposal 3</w:t>
      </w:r>
      <w:r>
        <w:rPr>
          <w:i/>
          <w:lang w:eastAsia="zh-CN"/>
        </w:rPr>
        <w:t xml:space="preserve">: Reuse the Rel-15 single Tx design for dual Tx UE in case of Case 1 HARQ timing. Do not support the case that all uplink subframes can be scheduled for LTE for Case 1 HARQ timing. </w:t>
      </w:r>
    </w:p>
    <w:p>
      <w:pPr>
        <w:rPr>
          <w:i/>
          <w:lang w:eastAsia="zh-CN"/>
        </w:rPr>
      </w:pPr>
      <w:r>
        <w:rPr>
          <w:b/>
          <w:i/>
          <w:lang w:eastAsia="zh-CN"/>
        </w:rPr>
        <w:t>Proposal 4</w:t>
      </w:r>
      <w:r>
        <w:rPr>
          <w:i/>
          <w:lang w:eastAsia="zh-CN"/>
        </w:rPr>
        <w:t>: Reuse the same UE capability field and RRC signaling field designed for Rel-15 SUO for dual Tx UE with potential update to cover the case of harmonic interference and dual Tx.</w:t>
      </w:r>
    </w:p>
    <w:p>
      <w:pPr>
        <w:rPr>
          <w:rFonts w:eastAsia="MS Mincho"/>
          <w:i/>
        </w:rPr>
      </w:pPr>
      <w:r>
        <w:rPr>
          <w:b/>
          <w:i/>
          <w:lang w:val="en-GB" w:eastAsia="zh-CN"/>
        </w:rPr>
        <w:t xml:space="preserve">Proposal </w:t>
      </w:r>
      <w:r>
        <w:rPr>
          <w:b/>
          <w:i/>
          <w:lang w:eastAsia="zh-CN"/>
        </w:rPr>
        <w:t>5</w:t>
      </w:r>
      <w:r>
        <w:rPr>
          <w:i/>
          <w:lang w:val="en-GB" w:eastAsia="zh-CN"/>
        </w:rPr>
        <w:t>: For SUO in EN-DC with LTE TDD PCell and UE is configured with DL-reference UL/DL configuration,</w:t>
      </w:r>
      <w:r>
        <w:rPr>
          <w:rFonts w:hint="eastAsia"/>
          <w:i/>
          <w:lang w:val="en-GB" w:eastAsia="zh-CN"/>
        </w:rPr>
        <w:t xml:space="preserve"> </w:t>
      </w:r>
      <w:r>
        <w:rPr>
          <w:rFonts w:eastAsia="MS Mincho"/>
          <w:i/>
        </w:rPr>
        <w:t xml:space="preserve">configure a default ARI value from PUCCH format 3/4/5, e.g., ARI=00. </w:t>
      </w:r>
    </w:p>
    <w:p>
      <w:pPr>
        <w:numPr>
          <w:ilvl w:val="0"/>
          <w:numId w:val="15"/>
        </w:numPr>
        <w:spacing w:after="0"/>
        <w:rPr>
          <w:rFonts w:eastAsia="MS Mincho"/>
          <w:i/>
        </w:rPr>
      </w:pPr>
      <w:r>
        <w:rPr>
          <w:rFonts w:eastAsia="MS Mincho"/>
          <w:i/>
        </w:rPr>
        <w:t>If UE only receives DAI=1, UE uses the default ARI value to determine the PUCCH format and resource.</w:t>
      </w:r>
    </w:p>
    <w:p>
      <w:pPr>
        <w:numPr>
          <w:ilvl w:val="0"/>
          <w:numId w:val="15"/>
        </w:numPr>
        <w:spacing w:after="0"/>
        <w:rPr>
          <w:rFonts w:eastAsia="MS Mincho"/>
          <w:i/>
        </w:rPr>
      </w:pPr>
      <w:r>
        <w:rPr>
          <w:rFonts w:hint="eastAsia" w:eastAsiaTheme="minorEastAsia"/>
          <w:i/>
          <w:lang w:eastAsia="zh-CN"/>
        </w:rPr>
        <w:t>I</w:t>
      </w:r>
      <w:r>
        <w:rPr>
          <w:rFonts w:eastAsiaTheme="minorEastAsia"/>
          <w:i/>
          <w:lang w:eastAsia="zh-CN"/>
        </w:rPr>
        <w:t>f UE receives DAI=1 and SPS transmission, UE uses the default ARI value to determine the PUCCH format and resource.</w:t>
      </w:r>
    </w:p>
    <w:p>
      <w:pPr>
        <w:rPr>
          <w:i/>
          <w:lang w:eastAsia="zh-CN"/>
        </w:rPr>
      </w:pPr>
      <w:r>
        <w:rPr>
          <w:b/>
          <w:i/>
          <w:lang w:eastAsia="zh-CN"/>
        </w:rPr>
        <w:t>Proposal 6</w:t>
      </w:r>
      <w:r>
        <w:rPr>
          <w:i/>
          <w:lang w:eastAsia="zh-CN"/>
        </w:rPr>
        <w:t xml:space="preserve">: For SUO with EN-DC in case of collision, if the NR PUSCH grant arrives later than the LTE PUSCH grant, </w:t>
      </w:r>
      <w:r>
        <w:rPr>
          <w:rFonts w:hint="eastAsia"/>
          <w:i/>
          <w:lang w:eastAsia="zh-CN"/>
        </w:rPr>
        <w:t xml:space="preserve">a </w:t>
      </w:r>
      <w:r>
        <w:rPr>
          <w:i/>
          <w:lang w:eastAsia="zh-CN"/>
        </w:rPr>
        <w:t>UE is expected to drop NR PUSCH;</w:t>
      </w:r>
      <w:r>
        <w:rPr>
          <w:rFonts w:hint="eastAsia"/>
          <w:i/>
          <w:lang w:eastAsia="zh-CN"/>
        </w:rPr>
        <w:t xml:space="preserve"> </w:t>
      </w:r>
      <w:r>
        <w:rPr>
          <w:i/>
          <w:lang w:eastAsia="zh-CN"/>
        </w:rPr>
        <w:t xml:space="preserve">otherwise, </w:t>
      </w:r>
      <w:r>
        <w:rPr>
          <w:rFonts w:hint="eastAsia"/>
          <w:i/>
          <w:lang w:eastAsia="zh-CN"/>
        </w:rPr>
        <w:t xml:space="preserve">the </w:t>
      </w:r>
      <w:r>
        <w:rPr>
          <w:i/>
          <w:lang w:eastAsia="zh-CN"/>
        </w:rPr>
        <w:t>UE is expected to drop LTE PUSCH.</w:t>
      </w:r>
    </w:p>
    <w:p>
      <w:pPr>
        <w:rPr>
          <w:i/>
          <w:lang w:val="en-GB" w:eastAsia="zh-CN"/>
        </w:rPr>
      </w:pPr>
      <w:r>
        <w:rPr>
          <w:b/>
          <w:i/>
          <w:lang w:val="en-GB" w:eastAsia="zh-CN"/>
        </w:rPr>
        <w:t xml:space="preserve">Proposal </w:t>
      </w:r>
      <w:r>
        <w:rPr>
          <w:b/>
          <w:i/>
          <w:lang w:eastAsia="zh-CN"/>
        </w:rPr>
        <w:t>7</w:t>
      </w:r>
      <w:r>
        <w:rPr>
          <w:i/>
          <w:lang w:val="en-GB" w:eastAsia="zh-CN"/>
        </w:rPr>
        <w:t>: A UE is expected to drop LTE PUSCH if this LTE PUSCH collides with NR PUCCH resources configured by RRC</w:t>
      </w:r>
      <w:r>
        <w:rPr>
          <w:rFonts w:hint="eastAsia"/>
          <w:i/>
          <w:lang w:eastAsia="zh-CN"/>
        </w:rPr>
        <w:t xml:space="preserve"> even if there is no actual transmission in this PUCCH resources</w:t>
      </w:r>
      <w:r>
        <w:rPr>
          <w:i/>
          <w:lang w:val="en-GB" w:eastAsia="zh-CN"/>
        </w:rPr>
        <w:t>.</w:t>
      </w:r>
    </w:p>
    <w:p>
      <w:pPr>
        <w:rPr>
          <w:i/>
          <w:lang w:val="en-GB" w:eastAsia="zh-CN"/>
        </w:rPr>
      </w:pPr>
      <w:r>
        <w:rPr>
          <w:b/>
          <w:i/>
          <w:lang w:val="en-GB" w:eastAsia="zh-CN"/>
        </w:rPr>
        <w:t xml:space="preserve">Proposal </w:t>
      </w:r>
      <w:r>
        <w:rPr>
          <w:b/>
          <w:i/>
          <w:lang w:eastAsia="zh-CN"/>
        </w:rPr>
        <w:t>8</w:t>
      </w:r>
      <w:r>
        <w:rPr>
          <w:i/>
          <w:lang w:val="en-GB" w:eastAsia="zh-CN"/>
        </w:rPr>
        <w:t>: For type 1 UE incapable of dual PA, LTE PUSCH is only allowed in the UL subframes designated as UL in the DL-reference configuration.</w:t>
      </w:r>
    </w:p>
    <w:p>
      <w:pPr>
        <w:rPr>
          <w:i/>
          <w:lang w:val="en-GB" w:eastAsia="zh-CN"/>
        </w:rPr>
      </w:pPr>
      <w:r>
        <w:rPr>
          <w:b/>
          <w:i/>
          <w:lang w:val="en-GB" w:eastAsia="zh-CN"/>
        </w:rPr>
        <w:t xml:space="preserve">Proposal </w:t>
      </w:r>
      <w:r>
        <w:rPr>
          <w:b/>
          <w:i/>
          <w:lang w:eastAsia="zh-CN"/>
        </w:rPr>
        <w:t>9</w:t>
      </w:r>
      <w:r>
        <w:rPr>
          <w:i/>
          <w:lang w:val="en-GB" w:eastAsia="zh-CN"/>
        </w:rPr>
        <w:t>: For Rel-16 SUO for EN-DC with LTE TDD PCell, LTE PRACH and SRS transmission are only allowed to transmit in the subframes designated as UL in DL-reference configuration.</w:t>
      </w:r>
      <w:bookmarkStart w:id="12" w:name="_GoBack"/>
      <w:bookmarkEnd w:id="12"/>
    </w:p>
    <w:p>
      <w:pPr>
        <w:pStyle w:val="2"/>
        <w:rPr>
          <w:lang w:eastAsia="zh-CN"/>
        </w:rPr>
      </w:pPr>
      <w:r>
        <w:rPr>
          <w:rFonts w:hint="eastAsia"/>
          <w:lang w:eastAsia="zh-CN"/>
        </w:rPr>
        <w:t>R</w:t>
      </w:r>
      <w:r>
        <w:rPr>
          <w:lang w:eastAsia="zh-CN"/>
        </w:rPr>
        <w:t>eference</w:t>
      </w:r>
    </w:p>
    <w:p>
      <w:pPr>
        <w:pStyle w:val="126"/>
        <w:rPr>
          <w:lang w:eastAsia="zh-CN"/>
        </w:rPr>
      </w:pPr>
      <w:bookmarkStart w:id="6" w:name="_Ref19801165"/>
      <w:bookmarkStart w:id="7" w:name="_Ref19798002"/>
      <w:bookmarkStart w:id="8" w:name="_Ref7029524"/>
      <w:r>
        <w:rPr>
          <w:lang w:eastAsia="zh-CN"/>
        </w:rPr>
        <w:t>Draft_Minutes_report_RAN1#98_v020.zip</w:t>
      </w:r>
      <w:bookmarkEnd w:id="6"/>
    </w:p>
    <w:p>
      <w:pPr>
        <w:pStyle w:val="126"/>
        <w:rPr>
          <w:lang w:eastAsia="zh-CN"/>
        </w:rPr>
      </w:pPr>
      <w:bookmarkStart w:id="9" w:name="_Ref19801343"/>
      <w:r>
        <w:rPr>
          <w:lang w:eastAsia="zh-CN"/>
        </w:rPr>
        <w:t>R1-1905677, TDD Timing on FDD Bands for Dual Uplink, Vodafone, 2019-04.</w:t>
      </w:r>
      <w:bookmarkEnd w:id="7"/>
      <w:bookmarkEnd w:id="9"/>
    </w:p>
    <w:p>
      <w:pPr>
        <w:pStyle w:val="126"/>
        <w:rPr>
          <w:lang w:eastAsia="zh-CN"/>
        </w:rPr>
      </w:pPr>
      <w:bookmarkStart w:id="10" w:name="_Ref19798257"/>
      <w:r>
        <w:rPr>
          <w:lang w:eastAsia="zh-CN"/>
        </w:rPr>
        <w:t>3GPP TS 38.101-3 V15.6.0, 2019-06.</w:t>
      </w:r>
      <w:bookmarkEnd w:id="10"/>
    </w:p>
    <w:bookmarkEnd w:id="8"/>
    <w:p>
      <w:pPr>
        <w:pStyle w:val="126"/>
        <w:rPr>
          <w:lang w:eastAsia="zh-CN"/>
        </w:rPr>
      </w:pPr>
      <w:bookmarkStart w:id="11" w:name="_Ref7030886"/>
      <w:r>
        <w:rPr>
          <w:lang w:eastAsia="zh-CN"/>
        </w:rPr>
        <w:t>R1-1903994, Enhancements for single UL operation for EN-DC, Huawei, HiSilicon, 2019-04.</w:t>
      </w:r>
      <w:bookmarkEnd w:id="11"/>
    </w:p>
    <w:sectPr>
      <w:footerReference r:id="rId4" w:type="default"/>
      <w:headerReference r:id="rId3" w:type="even"/>
      <w:footerReference r:id="rId5" w:type="even"/>
      <w:footnotePr>
        <w:numRestart w:val="eachSect"/>
      </w:footnotePr>
      <w:type w:val="continuous"/>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New York">
    <w:altName w:val="Times New Roman"/>
    <w:panose1 w:val="02040503060506020304"/>
    <w:charset w:val="00"/>
    <w:family w:val="roman"/>
    <w:pitch w:val="default"/>
    <w:sig w:usb0="00000000" w:usb1="00000000" w:usb2="00000000" w:usb3="00000000" w:csb0="00000001" w:csb1="00000000"/>
  </w:font>
  <w:font w:name="Courier New">
    <w:panose1 w:val="02070309020205020404"/>
    <w:charset w:val="00"/>
    <w:family w:val="modern"/>
    <w:pitch w:val="default"/>
    <w:sig w:usb0="E0002EFF" w:usb1="C0007843" w:usb2="00000009" w:usb3="00000000" w:csb0="400001FF" w:csb1="FFFF0000"/>
  </w:font>
  <w:font w:name="MS Mincho">
    <w:altName w:val="MS Gothic"/>
    <w:panose1 w:val="02020609040205080304"/>
    <w:charset w:val="80"/>
    <w:family w:val="roman"/>
    <w:pitch w:val="default"/>
    <w:sig w:usb0="00000000" w:usb1="00000000" w:usb2="00000010" w:usb3="00000000" w:csb0="00020000" w:csb1="00000000"/>
  </w:font>
  <w:font w:name="Batang">
    <w:altName w:val="Malgun Gothic"/>
    <w:panose1 w:val="02030600000101010101"/>
    <w:charset w:val="81"/>
    <w:family w:val="auto"/>
    <w:pitch w:val="default"/>
    <w:sig w:usb0="00000000" w:usb1="00000000" w:usb2="00000010" w:usb3="00000000" w:csb0="00080000" w:csb1="00000000"/>
  </w:font>
  <w:font w:name="CG Times (WN)">
    <w:altName w:val="Arial"/>
    <w:panose1 w:val="00000000000000000000"/>
    <w:charset w:val="00"/>
    <w:family w:val="roman"/>
    <w:pitch w:val="default"/>
    <w:sig w:usb0="00000000" w:usb1="00000000" w:usb2="00000000" w:usb3="00000000" w:csb0="00000001" w:csb1="00000000"/>
  </w:font>
  <w:font w:name="Yu Mincho">
    <w:altName w:val="MS Gothic"/>
    <w:panose1 w:val="00000000000000000000"/>
    <w:charset w:val="80"/>
    <w:family w:val="roman"/>
    <w:pitch w:val="default"/>
    <w:sig w:usb0="00000000" w:usb1="00000000"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ind w:right="360"/>
    </w:pPr>
    <w:r>
      <w:rPr>
        <w:rStyle w:val="52"/>
      </w:rPr>
      <w:fldChar w:fldCharType="begin"/>
    </w:r>
    <w:r>
      <w:rPr>
        <w:rStyle w:val="52"/>
      </w:rPr>
      <w:instrText xml:space="preserve"> PAGE </w:instrText>
    </w:r>
    <w:r>
      <w:rPr>
        <w:rStyle w:val="52"/>
      </w:rPr>
      <w:fldChar w:fldCharType="separate"/>
    </w:r>
    <w:r>
      <w:rPr>
        <w:rStyle w:val="52"/>
      </w:rPr>
      <w:t>7</w:t>
    </w:r>
    <w:r>
      <w:rPr>
        <w:rStyle w:val="52"/>
      </w:rPr>
      <w:fldChar w:fldCharType="end"/>
    </w:r>
    <w:r>
      <w:rPr>
        <w:rStyle w:val="52"/>
      </w:rPr>
      <w:t>/</w:t>
    </w:r>
    <w:r>
      <w:rPr>
        <w:rStyle w:val="52"/>
      </w:rPr>
      <w:fldChar w:fldCharType="begin"/>
    </w:r>
    <w:r>
      <w:rPr>
        <w:rStyle w:val="52"/>
      </w:rPr>
      <w:instrText xml:space="preserve"> NUMPAGES </w:instrText>
    </w:r>
    <w:r>
      <w:rPr>
        <w:rStyle w:val="52"/>
      </w:rPr>
      <w:fldChar w:fldCharType="separate"/>
    </w:r>
    <w:r>
      <w:rPr>
        <w:rStyle w:val="52"/>
      </w:rPr>
      <w:t>7</w:t>
    </w:r>
    <w:r>
      <w:rPr>
        <w:rStyle w:val="5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framePr w:wrap="around" w:vAnchor="text" w:hAnchor="margin" w:xAlign="right" w:y="1"/>
      <w:rPr>
        <w:rStyle w:val="52"/>
      </w:rPr>
    </w:pPr>
    <w:r>
      <w:rPr>
        <w:rStyle w:val="52"/>
      </w:rPr>
      <w:fldChar w:fldCharType="begin"/>
    </w:r>
    <w:r>
      <w:rPr>
        <w:rStyle w:val="52"/>
      </w:rPr>
      <w:instrText xml:space="preserve">PAGE  </w:instrText>
    </w:r>
    <w:r>
      <w:rPr>
        <w:rStyle w:val="52"/>
      </w:rPr>
      <w:fldChar w:fldCharType="end"/>
    </w:r>
  </w:p>
  <w:p>
    <w:pPr>
      <w:pStyle w:val="38"/>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5C6F09"/>
    <w:multiLevelType w:val="multilevel"/>
    <w:tmpl w:val="085C6F09"/>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1">
    <w:nsid w:val="1EEC0935"/>
    <w:multiLevelType w:val="multilevel"/>
    <w:tmpl w:val="1EEC0935"/>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223D3CE4"/>
    <w:multiLevelType w:val="multilevel"/>
    <w:tmpl w:val="223D3CE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2CC7125C"/>
    <w:multiLevelType w:val="singleLevel"/>
    <w:tmpl w:val="2CC7125C"/>
    <w:lvl w:ilvl="0" w:tentative="0">
      <w:start w:val="1"/>
      <w:numFmt w:val="bullet"/>
      <w:pStyle w:val="94"/>
      <w:lvlText w:val=""/>
      <w:lvlJc w:val="left"/>
      <w:pPr>
        <w:tabs>
          <w:tab w:val="left" w:pos="360"/>
        </w:tabs>
        <w:ind w:left="360" w:hanging="360"/>
      </w:pPr>
      <w:rPr>
        <w:rFonts w:hint="default" w:ascii="Symbol" w:hAnsi="Symbol"/>
      </w:rPr>
    </w:lvl>
  </w:abstractNum>
  <w:abstractNum w:abstractNumId="4">
    <w:nsid w:val="30BC5591"/>
    <w:multiLevelType w:val="multilevel"/>
    <w:tmpl w:val="30BC559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3A877D64"/>
    <w:multiLevelType w:val="singleLevel"/>
    <w:tmpl w:val="3A877D64"/>
    <w:lvl w:ilvl="0" w:tentative="0">
      <w:start w:val="1"/>
      <w:numFmt w:val="decimal"/>
      <w:pStyle w:val="126"/>
      <w:lvlText w:val="[%1]"/>
      <w:lvlJc w:val="left"/>
      <w:pPr>
        <w:tabs>
          <w:tab w:val="left" w:pos="360"/>
        </w:tabs>
        <w:ind w:left="360" w:hanging="360"/>
      </w:pPr>
    </w:lvl>
  </w:abstractNum>
  <w:abstractNum w:abstractNumId="7">
    <w:nsid w:val="3E3821F2"/>
    <w:multiLevelType w:val="multilevel"/>
    <w:tmpl w:val="3E3821F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42BB3F6F"/>
    <w:multiLevelType w:val="multilevel"/>
    <w:tmpl w:val="42BB3F6F"/>
    <w:lvl w:ilvl="0" w:tentative="0">
      <w:start w:val="1"/>
      <w:numFmt w:val="bullet"/>
      <w:lvlText w:val="•"/>
      <w:lvlJc w:val="left"/>
      <w:pPr>
        <w:tabs>
          <w:tab w:val="left" w:pos="648"/>
        </w:tabs>
        <w:ind w:left="648" w:hanging="360"/>
      </w:pPr>
      <w:rPr>
        <w:rFonts w:hint="default" w:ascii="Arial" w:hAnsi="Arial"/>
      </w:rPr>
    </w:lvl>
    <w:lvl w:ilvl="1" w:tentative="0">
      <w:start w:val="238"/>
      <w:numFmt w:val="bullet"/>
      <w:lvlText w:val="•"/>
      <w:lvlJc w:val="left"/>
      <w:pPr>
        <w:tabs>
          <w:tab w:val="left" w:pos="1368"/>
        </w:tabs>
        <w:ind w:left="1368" w:hanging="360"/>
      </w:pPr>
      <w:rPr>
        <w:rFonts w:hint="default" w:ascii="Arial" w:hAnsi="Arial"/>
      </w:rPr>
    </w:lvl>
    <w:lvl w:ilvl="2" w:tentative="0">
      <w:start w:val="238"/>
      <w:numFmt w:val="bullet"/>
      <w:lvlText w:val="•"/>
      <w:lvlJc w:val="left"/>
      <w:pPr>
        <w:tabs>
          <w:tab w:val="left" w:pos="2088"/>
        </w:tabs>
        <w:ind w:left="2088" w:hanging="360"/>
      </w:pPr>
      <w:rPr>
        <w:rFonts w:hint="default" w:ascii="Arial" w:hAnsi="Arial"/>
      </w:rPr>
    </w:lvl>
    <w:lvl w:ilvl="3" w:tentative="0">
      <w:start w:val="238"/>
      <w:numFmt w:val="bullet"/>
      <w:lvlText w:val="•"/>
      <w:lvlJc w:val="left"/>
      <w:pPr>
        <w:tabs>
          <w:tab w:val="left" w:pos="2808"/>
        </w:tabs>
        <w:ind w:left="2808" w:hanging="360"/>
      </w:pPr>
      <w:rPr>
        <w:rFonts w:hint="default" w:ascii="Arial" w:hAnsi="Arial"/>
      </w:rPr>
    </w:lvl>
    <w:lvl w:ilvl="4" w:tentative="0">
      <w:start w:val="1"/>
      <w:numFmt w:val="bullet"/>
      <w:lvlText w:val="•"/>
      <w:lvlJc w:val="left"/>
      <w:pPr>
        <w:tabs>
          <w:tab w:val="left" w:pos="3528"/>
        </w:tabs>
        <w:ind w:left="3528" w:hanging="360"/>
      </w:pPr>
      <w:rPr>
        <w:rFonts w:hint="default" w:ascii="Arial" w:hAnsi="Arial"/>
      </w:rPr>
    </w:lvl>
    <w:lvl w:ilvl="5" w:tentative="0">
      <w:start w:val="1"/>
      <w:numFmt w:val="bullet"/>
      <w:lvlText w:val="•"/>
      <w:lvlJc w:val="left"/>
      <w:pPr>
        <w:tabs>
          <w:tab w:val="left" w:pos="4248"/>
        </w:tabs>
        <w:ind w:left="4248" w:hanging="360"/>
      </w:pPr>
      <w:rPr>
        <w:rFonts w:hint="default" w:ascii="Arial" w:hAnsi="Arial"/>
      </w:rPr>
    </w:lvl>
    <w:lvl w:ilvl="6" w:tentative="0">
      <w:start w:val="1"/>
      <w:numFmt w:val="bullet"/>
      <w:lvlText w:val="•"/>
      <w:lvlJc w:val="left"/>
      <w:pPr>
        <w:tabs>
          <w:tab w:val="left" w:pos="4968"/>
        </w:tabs>
        <w:ind w:left="4968" w:hanging="360"/>
      </w:pPr>
      <w:rPr>
        <w:rFonts w:hint="default" w:ascii="Arial" w:hAnsi="Arial"/>
      </w:rPr>
    </w:lvl>
    <w:lvl w:ilvl="7" w:tentative="0">
      <w:start w:val="1"/>
      <w:numFmt w:val="bullet"/>
      <w:lvlText w:val="•"/>
      <w:lvlJc w:val="left"/>
      <w:pPr>
        <w:tabs>
          <w:tab w:val="left" w:pos="5688"/>
        </w:tabs>
        <w:ind w:left="5688" w:hanging="360"/>
      </w:pPr>
      <w:rPr>
        <w:rFonts w:hint="default" w:ascii="Arial" w:hAnsi="Arial"/>
      </w:rPr>
    </w:lvl>
    <w:lvl w:ilvl="8" w:tentative="0">
      <w:start w:val="1"/>
      <w:numFmt w:val="bullet"/>
      <w:lvlText w:val="•"/>
      <w:lvlJc w:val="left"/>
      <w:pPr>
        <w:tabs>
          <w:tab w:val="left" w:pos="6408"/>
        </w:tabs>
        <w:ind w:left="6408" w:hanging="360"/>
      </w:pPr>
      <w:rPr>
        <w:rFonts w:hint="default" w:ascii="Arial" w:hAnsi="Arial"/>
      </w:rPr>
    </w:lvl>
  </w:abstractNum>
  <w:abstractNum w:abstractNumId="9">
    <w:nsid w:val="48A777A0"/>
    <w:multiLevelType w:val="multilevel"/>
    <w:tmpl w:val="48A777A0"/>
    <w:lvl w:ilvl="0" w:tentative="0">
      <w:start w:val="1"/>
      <w:numFmt w:val="bullet"/>
      <w:lvlText w:val="•"/>
      <w:lvlJc w:val="left"/>
      <w:pPr>
        <w:tabs>
          <w:tab w:val="left" w:pos="648"/>
        </w:tabs>
        <w:ind w:left="648" w:hanging="360"/>
      </w:pPr>
      <w:rPr>
        <w:rFonts w:hint="default" w:ascii="Arial" w:hAnsi="Arial"/>
      </w:rPr>
    </w:lvl>
    <w:lvl w:ilvl="1" w:tentative="0">
      <w:start w:val="238"/>
      <w:numFmt w:val="bullet"/>
      <w:lvlText w:val="•"/>
      <w:lvlJc w:val="left"/>
      <w:pPr>
        <w:tabs>
          <w:tab w:val="left" w:pos="1368"/>
        </w:tabs>
        <w:ind w:left="1368" w:hanging="360"/>
      </w:pPr>
      <w:rPr>
        <w:rFonts w:hint="default" w:ascii="Arial" w:hAnsi="Arial"/>
      </w:rPr>
    </w:lvl>
    <w:lvl w:ilvl="2" w:tentative="0">
      <w:start w:val="1"/>
      <w:numFmt w:val="bullet"/>
      <w:lvlText w:val="o"/>
      <w:lvlJc w:val="left"/>
      <w:pPr>
        <w:tabs>
          <w:tab w:val="left" w:pos="2088"/>
        </w:tabs>
        <w:ind w:left="2088" w:hanging="360"/>
      </w:pPr>
      <w:rPr>
        <w:rFonts w:hint="default" w:ascii="Courier New" w:hAnsi="Courier New" w:cs="Courier New"/>
      </w:rPr>
    </w:lvl>
    <w:lvl w:ilvl="3" w:tentative="0">
      <w:start w:val="238"/>
      <w:numFmt w:val="bullet"/>
      <w:lvlText w:val="•"/>
      <w:lvlJc w:val="left"/>
      <w:pPr>
        <w:tabs>
          <w:tab w:val="left" w:pos="2808"/>
        </w:tabs>
        <w:ind w:left="2808" w:hanging="360"/>
      </w:pPr>
      <w:rPr>
        <w:rFonts w:hint="default" w:ascii="Arial" w:hAnsi="Arial"/>
      </w:rPr>
    </w:lvl>
    <w:lvl w:ilvl="4" w:tentative="0">
      <w:start w:val="1"/>
      <w:numFmt w:val="bullet"/>
      <w:lvlText w:val="•"/>
      <w:lvlJc w:val="left"/>
      <w:pPr>
        <w:tabs>
          <w:tab w:val="left" w:pos="3528"/>
        </w:tabs>
        <w:ind w:left="3528" w:hanging="360"/>
      </w:pPr>
      <w:rPr>
        <w:rFonts w:hint="default" w:ascii="Arial" w:hAnsi="Arial"/>
      </w:rPr>
    </w:lvl>
    <w:lvl w:ilvl="5" w:tentative="0">
      <w:start w:val="1"/>
      <w:numFmt w:val="bullet"/>
      <w:lvlText w:val="•"/>
      <w:lvlJc w:val="left"/>
      <w:pPr>
        <w:tabs>
          <w:tab w:val="left" w:pos="4248"/>
        </w:tabs>
        <w:ind w:left="4248" w:hanging="360"/>
      </w:pPr>
      <w:rPr>
        <w:rFonts w:hint="default" w:ascii="Arial" w:hAnsi="Arial"/>
      </w:rPr>
    </w:lvl>
    <w:lvl w:ilvl="6" w:tentative="0">
      <w:start w:val="1"/>
      <w:numFmt w:val="bullet"/>
      <w:lvlText w:val="•"/>
      <w:lvlJc w:val="left"/>
      <w:pPr>
        <w:tabs>
          <w:tab w:val="left" w:pos="4968"/>
        </w:tabs>
        <w:ind w:left="4968" w:hanging="360"/>
      </w:pPr>
      <w:rPr>
        <w:rFonts w:hint="default" w:ascii="Arial" w:hAnsi="Arial"/>
      </w:rPr>
    </w:lvl>
    <w:lvl w:ilvl="7" w:tentative="0">
      <w:start w:val="1"/>
      <w:numFmt w:val="bullet"/>
      <w:lvlText w:val="•"/>
      <w:lvlJc w:val="left"/>
      <w:pPr>
        <w:tabs>
          <w:tab w:val="left" w:pos="5688"/>
        </w:tabs>
        <w:ind w:left="5688" w:hanging="360"/>
      </w:pPr>
      <w:rPr>
        <w:rFonts w:hint="default" w:ascii="Arial" w:hAnsi="Arial"/>
      </w:rPr>
    </w:lvl>
    <w:lvl w:ilvl="8" w:tentative="0">
      <w:start w:val="1"/>
      <w:numFmt w:val="bullet"/>
      <w:lvlText w:val="•"/>
      <w:lvlJc w:val="left"/>
      <w:pPr>
        <w:tabs>
          <w:tab w:val="left" w:pos="6408"/>
        </w:tabs>
        <w:ind w:left="6408" w:hanging="360"/>
      </w:pPr>
      <w:rPr>
        <w:rFonts w:hint="default" w:ascii="Arial" w:hAnsi="Arial"/>
      </w:rPr>
    </w:lvl>
  </w:abstractNum>
  <w:abstractNum w:abstractNumId="10">
    <w:nsid w:val="58C426F3"/>
    <w:multiLevelType w:val="multilevel"/>
    <w:tmpl w:val="58C426F3"/>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1">
    <w:nsid w:val="601A0DED"/>
    <w:multiLevelType w:val="multilevel"/>
    <w:tmpl w:val="601A0DED"/>
    <w:lvl w:ilvl="0" w:tentative="0">
      <w:start w:val="2018"/>
      <w:numFmt w:val="bullet"/>
      <w:lvlText w:val="-"/>
      <w:lvlJc w:val="left"/>
      <w:pPr>
        <w:ind w:left="720" w:hanging="360"/>
      </w:pPr>
      <w:rPr>
        <w:rFonts w:hint="default" w:ascii="Arial" w:hAnsi="Arial" w:eastAsia="Yu Mincho" w:cs="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68067D91"/>
    <w:multiLevelType w:val="multilevel"/>
    <w:tmpl w:val="68067D91"/>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Times New Roman"/>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5">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3"/>
  </w:num>
  <w:num w:numId="3">
    <w:abstractNumId w:val="13"/>
  </w:num>
  <w:num w:numId="4">
    <w:abstractNumId w:val="6"/>
  </w:num>
  <w:num w:numId="5">
    <w:abstractNumId w:val="16"/>
  </w:num>
  <w:num w:numId="6">
    <w:abstractNumId w:val="12"/>
  </w:num>
  <w:num w:numId="7">
    <w:abstractNumId w:val="5"/>
  </w:num>
  <w:num w:numId="8">
    <w:abstractNumId w:val="15"/>
  </w:num>
  <w:num w:numId="9">
    <w:abstractNumId w:val="2"/>
  </w:num>
  <w:num w:numId="10">
    <w:abstractNumId w:val="8"/>
  </w:num>
  <w:num w:numId="11">
    <w:abstractNumId w:val="14"/>
  </w:num>
  <w:num w:numId="12">
    <w:abstractNumId w:val="11"/>
  </w:num>
  <w:num w:numId="13">
    <w:abstractNumId w:val="4"/>
  </w:num>
  <w:num w:numId="14">
    <w:abstractNumId w:val="1"/>
  </w:num>
  <w:num w:numId="15">
    <w:abstractNumId w:val="9"/>
  </w:num>
  <w:num w:numId="16">
    <w:abstractNumId w:val="10"/>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8"/>
  <w:doNotHyphenateCaps/>
  <w:drawingGridHorizontalSpacing w:val="100"/>
  <w:doNotShadeFormData w:val="1"/>
  <w:noPunctuationKerning w:val="1"/>
  <w:characterSpacingControl w:val="doNotCompress"/>
  <w:footnotePr>
    <w:numRestart w:val="eachSect"/>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417C"/>
    <w:rsid w:val="00024D64"/>
    <w:rsid w:val="00024E37"/>
    <w:rsid w:val="0002506A"/>
    <w:rsid w:val="000255A1"/>
    <w:rsid w:val="000258DD"/>
    <w:rsid w:val="0002591B"/>
    <w:rsid w:val="000266AE"/>
    <w:rsid w:val="00026905"/>
    <w:rsid w:val="00026977"/>
    <w:rsid w:val="00026B7D"/>
    <w:rsid w:val="00026C64"/>
    <w:rsid w:val="00026E4C"/>
    <w:rsid w:val="00026EF9"/>
    <w:rsid w:val="00027083"/>
    <w:rsid w:val="00027333"/>
    <w:rsid w:val="000273DF"/>
    <w:rsid w:val="000300FE"/>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6FF"/>
    <w:rsid w:val="00082A49"/>
    <w:rsid w:val="00082C90"/>
    <w:rsid w:val="00082D86"/>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AE0"/>
    <w:rsid w:val="000D2CDA"/>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13C4"/>
    <w:rsid w:val="000F13D7"/>
    <w:rsid w:val="000F17E4"/>
    <w:rsid w:val="000F1878"/>
    <w:rsid w:val="000F1A06"/>
    <w:rsid w:val="000F1CF3"/>
    <w:rsid w:val="000F1D2C"/>
    <w:rsid w:val="000F1F98"/>
    <w:rsid w:val="000F20CD"/>
    <w:rsid w:val="000F2965"/>
    <w:rsid w:val="000F2CC4"/>
    <w:rsid w:val="000F34C7"/>
    <w:rsid w:val="000F3B40"/>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0FD1"/>
    <w:rsid w:val="00111494"/>
    <w:rsid w:val="001115C0"/>
    <w:rsid w:val="001115F4"/>
    <w:rsid w:val="001116D2"/>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AC6"/>
    <w:rsid w:val="001321CE"/>
    <w:rsid w:val="001322B0"/>
    <w:rsid w:val="00132671"/>
    <w:rsid w:val="00132767"/>
    <w:rsid w:val="00132917"/>
    <w:rsid w:val="00132E89"/>
    <w:rsid w:val="0013327F"/>
    <w:rsid w:val="0013334C"/>
    <w:rsid w:val="00133EBD"/>
    <w:rsid w:val="00134B15"/>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97"/>
    <w:rsid w:val="00151A0C"/>
    <w:rsid w:val="00152066"/>
    <w:rsid w:val="001522B3"/>
    <w:rsid w:val="00152559"/>
    <w:rsid w:val="00152744"/>
    <w:rsid w:val="00152A3B"/>
    <w:rsid w:val="0015347E"/>
    <w:rsid w:val="0015365C"/>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A42"/>
    <w:rsid w:val="00165D2D"/>
    <w:rsid w:val="00165D9A"/>
    <w:rsid w:val="0016634F"/>
    <w:rsid w:val="001665D2"/>
    <w:rsid w:val="00166809"/>
    <w:rsid w:val="00166879"/>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244"/>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2056"/>
    <w:rsid w:val="001C211D"/>
    <w:rsid w:val="001C22B1"/>
    <w:rsid w:val="001C2A8B"/>
    <w:rsid w:val="001C3434"/>
    <w:rsid w:val="001C3474"/>
    <w:rsid w:val="001C3D2C"/>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2A4"/>
    <w:rsid w:val="00222AB8"/>
    <w:rsid w:val="00222B25"/>
    <w:rsid w:val="00222FE7"/>
    <w:rsid w:val="002234C1"/>
    <w:rsid w:val="00223833"/>
    <w:rsid w:val="00223847"/>
    <w:rsid w:val="00223ACD"/>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C6F"/>
    <w:rsid w:val="00237D22"/>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429A"/>
    <w:rsid w:val="00254F38"/>
    <w:rsid w:val="00255C17"/>
    <w:rsid w:val="0025655A"/>
    <w:rsid w:val="00256B22"/>
    <w:rsid w:val="00256B2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3AA"/>
    <w:rsid w:val="00292540"/>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D56"/>
    <w:rsid w:val="002C04C2"/>
    <w:rsid w:val="002C0818"/>
    <w:rsid w:val="002C08A0"/>
    <w:rsid w:val="002C0D11"/>
    <w:rsid w:val="002C1045"/>
    <w:rsid w:val="002C1B17"/>
    <w:rsid w:val="002C1D21"/>
    <w:rsid w:val="002C203A"/>
    <w:rsid w:val="002C2AE9"/>
    <w:rsid w:val="002C2B29"/>
    <w:rsid w:val="002C2E8A"/>
    <w:rsid w:val="002C2FCD"/>
    <w:rsid w:val="002C3325"/>
    <w:rsid w:val="002C3AE4"/>
    <w:rsid w:val="002C3E89"/>
    <w:rsid w:val="002C42AA"/>
    <w:rsid w:val="002C493A"/>
    <w:rsid w:val="002C4A25"/>
    <w:rsid w:val="002C4AF6"/>
    <w:rsid w:val="002C5533"/>
    <w:rsid w:val="002C5620"/>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E34"/>
    <w:rsid w:val="002F1252"/>
    <w:rsid w:val="002F22C3"/>
    <w:rsid w:val="002F2AE0"/>
    <w:rsid w:val="002F31C4"/>
    <w:rsid w:val="002F322F"/>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4"/>
    <w:rsid w:val="0036590C"/>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D3B"/>
    <w:rsid w:val="0045169D"/>
    <w:rsid w:val="004518D5"/>
    <w:rsid w:val="00451B06"/>
    <w:rsid w:val="00451BEB"/>
    <w:rsid w:val="00451BFE"/>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A01E1"/>
    <w:rsid w:val="004A0E00"/>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9C2"/>
    <w:rsid w:val="00526A5E"/>
    <w:rsid w:val="00526C8A"/>
    <w:rsid w:val="005272A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989"/>
    <w:rsid w:val="00537BE9"/>
    <w:rsid w:val="00540055"/>
    <w:rsid w:val="00540147"/>
    <w:rsid w:val="00540725"/>
    <w:rsid w:val="005408AA"/>
    <w:rsid w:val="00540C7A"/>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76D"/>
    <w:rsid w:val="005C46D7"/>
    <w:rsid w:val="005C49E2"/>
    <w:rsid w:val="005C4B4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31AF"/>
    <w:rsid w:val="006D31DD"/>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C73"/>
    <w:rsid w:val="006F5231"/>
    <w:rsid w:val="006F557B"/>
    <w:rsid w:val="006F5674"/>
    <w:rsid w:val="006F5B41"/>
    <w:rsid w:val="006F6689"/>
    <w:rsid w:val="006F6740"/>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D90"/>
    <w:rsid w:val="00747446"/>
    <w:rsid w:val="007475BE"/>
    <w:rsid w:val="00747BD8"/>
    <w:rsid w:val="00747F05"/>
    <w:rsid w:val="0075038A"/>
    <w:rsid w:val="007503B7"/>
    <w:rsid w:val="0075076E"/>
    <w:rsid w:val="007509F9"/>
    <w:rsid w:val="00751B32"/>
    <w:rsid w:val="00751D99"/>
    <w:rsid w:val="00751F76"/>
    <w:rsid w:val="00752497"/>
    <w:rsid w:val="007524E2"/>
    <w:rsid w:val="00752FE7"/>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14A"/>
    <w:rsid w:val="007D357E"/>
    <w:rsid w:val="007D3889"/>
    <w:rsid w:val="007D39D7"/>
    <w:rsid w:val="007D478D"/>
    <w:rsid w:val="007D4838"/>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2027"/>
    <w:rsid w:val="008121AD"/>
    <w:rsid w:val="008123D5"/>
    <w:rsid w:val="008124FE"/>
    <w:rsid w:val="008127B0"/>
    <w:rsid w:val="00812FE3"/>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F73"/>
    <w:rsid w:val="00964E3C"/>
    <w:rsid w:val="00964E69"/>
    <w:rsid w:val="0096504D"/>
    <w:rsid w:val="009654F0"/>
    <w:rsid w:val="009659EA"/>
    <w:rsid w:val="00965A4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BC1"/>
    <w:rsid w:val="009C0DBE"/>
    <w:rsid w:val="009C1035"/>
    <w:rsid w:val="009C19BC"/>
    <w:rsid w:val="009C19D2"/>
    <w:rsid w:val="009C1BF9"/>
    <w:rsid w:val="009C1D4B"/>
    <w:rsid w:val="009C1E0C"/>
    <w:rsid w:val="009C206F"/>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5A"/>
    <w:rsid w:val="00A46FAD"/>
    <w:rsid w:val="00A47B46"/>
    <w:rsid w:val="00A47B4B"/>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398"/>
    <w:rsid w:val="00BD6509"/>
    <w:rsid w:val="00BD689C"/>
    <w:rsid w:val="00BD6909"/>
    <w:rsid w:val="00BD6A22"/>
    <w:rsid w:val="00BD78B8"/>
    <w:rsid w:val="00BD7910"/>
    <w:rsid w:val="00BD7A82"/>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BB7"/>
    <w:rsid w:val="00C32CCE"/>
    <w:rsid w:val="00C33560"/>
    <w:rsid w:val="00C337EC"/>
    <w:rsid w:val="00C339DE"/>
    <w:rsid w:val="00C33AA7"/>
    <w:rsid w:val="00C33DCE"/>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87D"/>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CFB"/>
    <w:rsid w:val="00C91FAC"/>
    <w:rsid w:val="00C9220C"/>
    <w:rsid w:val="00C922C5"/>
    <w:rsid w:val="00C92352"/>
    <w:rsid w:val="00C923B7"/>
    <w:rsid w:val="00C927AB"/>
    <w:rsid w:val="00C92C2A"/>
    <w:rsid w:val="00C9318C"/>
    <w:rsid w:val="00C93297"/>
    <w:rsid w:val="00C93543"/>
    <w:rsid w:val="00C94051"/>
    <w:rsid w:val="00C945EC"/>
    <w:rsid w:val="00C948ED"/>
    <w:rsid w:val="00C94B58"/>
    <w:rsid w:val="00C94BBA"/>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A35"/>
    <w:rsid w:val="00CD6D63"/>
    <w:rsid w:val="00CD6E0B"/>
    <w:rsid w:val="00CD6F64"/>
    <w:rsid w:val="00CD787F"/>
    <w:rsid w:val="00CD7A86"/>
    <w:rsid w:val="00CE025E"/>
    <w:rsid w:val="00CE030D"/>
    <w:rsid w:val="00CE03B6"/>
    <w:rsid w:val="00CE05B4"/>
    <w:rsid w:val="00CE05F2"/>
    <w:rsid w:val="00CE0CBF"/>
    <w:rsid w:val="00CE0F12"/>
    <w:rsid w:val="00CE112E"/>
    <w:rsid w:val="00CE1225"/>
    <w:rsid w:val="00CE132D"/>
    <w:rsid w:val="00CE143E"/>
    <w:rsid w:val="00CE1976"/>
    <w:rsid w:val="00CE19F2"/>
    <w:rsid w:val="00CE1AC7"/>
    <w:rsid w:val="00CE253D"/>
    <w:rsid w:val="00CE2DF0"/>
    <w:rsid w:val="00CE3257"/>
    <w:rsid w:val="00CE38AA"/>
    <w:rsid w:val="00CE3CDC"/>
    <w:rsid w:val="00CE3D16"/>
    <w:rsid w:val="00CE3D41"/>
    <w:rsid w:val="00CE3FBA"/>
    <w:rsid w:val="00CE44B7"/>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E3E"/>
    <w:rsid w:val="00D11672"/>
    <w:rsid w:val="00D11873"/>
    <w:rsid w:val="00D11DD7"/>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E8"/>
    <w:rsid w:val="00D426FB"/>
    <w:rsid w:val="00D42B71"/>
    <w:rsid w:val="00D42D5D"/>
    <w:rsid w:val="00D43888"/>
    <w:rsid w:val="00D4429F"/>
    <w:rsid w:val="00D44A5C"/>
    <w:rsid w:val="00D44CC3"/>
    <w:rsid w:val="00D45B68"/>
    <w:rsid w:val="00D4601D"/>
    <w:rsid w:val="00D4637B"/>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4E8"/>
    <w:rsid w:val="00DE1799"/>
    <w:rsid w:val="00DE21CF"/>
    <w:rsid w:val="00DE279F"/>
    <w:rsid w:val="00DE2D4B"/>
    <w:rsid w:val="00DE34C6"/>
    <w:rsid w:val="00DE3E7C"/>
    <w:rsid w:val="00DE42A3"/>
    <w:rsid w:val="00DE464E"/>
    <w:rsid w:val="00DE4664"/>
    <w:rsid w:val="00DE4811"/>
    <w:rsid w:val="00DE4B0C"/>
    <w:rsid w:val="00DE5FDA"/>
    <w:rsid w:val="00DE61AA"/>
    <w:rsid w:val="00DE67AE"/>
    <w:rsid w:val="00DE72D7"/>
    <w:rsid w:val="00DE73EF"/>
    <w:rsid w:val="00DE752E"/>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44E7"/>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75B"/>
    <w:rsid w:val="00F12909"/>
    <w:rsid w:val="00F12B3D"/>
    <w:rsid w:val="00F12D5D"/>
    <w:rsid w:val="00F13242"/>
    <w:rsid w:val="00F1403E"/>
    <w:rsid w:val="00F140FE"/>
    <w:rsid w:val="00F1415B"/>
    <w:rsid w:val="00F1418D"/>
    <w:rsid w:val="00F14FB4"/>
    <w:rsid w:val="00F15CF3"/>
    <w:rsid w:val="00F15F83"/>
    <w:rsid w:val="00F160CF"/>
    <w:rsid w:val="00F165FF"/>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284643E"/>
    <w:rsid w:val="03532C3F"/>
    <w:rsid w:val="03B25C4C"/>
    <w:rsid w:val="03F94E83"/>
    <w:rsid w:val="067D4C1C"/>
    <w:rsid w:val="06B127E5"/>
    <w:rsid w:val="072F2729"/>
    <w:rsid w:val="07C21FA9"/>
    <w:rsid w:val="0957797D"/>
    <w:rsid w:val="0972706B"/>
    <w:rsid w:val="09C21BB6"/>
    <w:rsid w:val="0AFC60B7"/>
    <w:rsid w:val="0BAD7041"/>
    <w:rsid w:val="0C6F5654"/>
    <w:rsid w:val="0D132BA9"/>
    <w:rsid w:val="0D660AC2"/>
    <w:rsid w:val="0D672BF6"/>
    <w:rsid w:val="0E120AD5"/>
    <w:rsid w:val="0EB06FFE"/>
    <w:rsid w:val="10150A41"/>
    <w:rsid w:val="1257267A"/>
    <w:rsid w:val="12A472D8"/>
    <w:rsid w:val="12FE321B"/>
    <w:rsid w:val="130859B8"/>
    <w:rsid w:val="141F2191"/>
    <w:rsid w:val="1575AEB2"/>
    <w:rsid w:val="164F7F6D"/>
    <w:rsid w:val="165E068A"/>
    <w:rsid w:val="1702D3F2"/>
    <w:rsid w:val="188D2058"/>
    <w:rsid w:val="18BA7603"/>
    <w:rsid w:val="18FD3F86"/>
    <w:rsid w:val="192B740B"/>
    <w:rsid w:val="1A514204"/>
    <w:rsid w:val="1B2E6DC7"/>
    <w:rsid w:val="1B5316CE"/>
    <w:rsid w:val="1B5E59D2"/>
    <w:rsid w:val="1C766428"/>
    <w:rsid w:val="1DD50930"/>
    <w:rsid w:val="1DF407BB"/>
    <w:rsid w:val="1E38003B"/>
    <w:rsid w:val="1F850095"/>
    <w:rsid w:val="1FB91CD0"/>
    <w:rsid w:val="202E0DEE"/>
    <w:rsid w:val="20910CB1"/>
    <w:rsid w:val="20CD42FE"/>
    <w:rsid w:val="21035A99"/>
    <w:rsid w:val="21282288"/>
    <w:rsid w:val="23680C07"/>
    <w:rsid w:val="239E142D"/>
    <w:rsid w:val="245870DE"/>
    <w:rsid w:val="247247A7"/>
    <w:rsid w:val="2473146A"/>
    <w:rsid w:val="27C5366D"/>
    <w:rsid w:val="27DD67CA"/>
    <w:rsid w:val="28690808"/>
    <w:rsid w:val="28B07E55"/>
    <w:rsid w:val="28B54AA2"/>
    <w:rsid w:val="2A0F0B23"/>
    <w:rsid w:val="2AFE2B7E"/>
    <w:rsid w:val="2D376513"/>
    <w:rsid w:val="2DC863F1"/>
    <w:rsid w:val="2EB72406"/>
    <w:rsid w:val="2F2367DE"/>
    <w:rsid w:val="31542D3B"/>
    <w:rsid w:val="32832752"/>
    <w:rsid w:val="32FE23BF"/>
    <w:rsid w:val="330E6893"/>
    <w:rsid w:val="33DE0CB9"/>
    <w:rsid w:val="3511129D"/>
    <w:rsid w:val="359455FE"/>
    <w:rsid w:val="36CD07B0"/>
    <w:rsid w:val="375C57D7"/>
    <w:rsid w:val="37DD651E"/>
    <w:rsid w:val="38BA113F"/>
    <w:rsid w:val="3A135075"/>
    <w:rsid w:val="3A8424B5"/>
    <w:rsid w:val="3AB31D0C"/>
    <w:rsid w:val="3B4A3B53"/>
    <w:rsid w:val="3C923082"/>
    <w:rsid w:val="3D0354C7"/>
    <w:rsid w:val="3D7642C9"/>
    <w:rsid w:val="3DDA6D42"/>
    <w:rsid w:val="3E7347F4"/>
    <w:rsid w:val="3EF83C43"/>
    <w:rsid w:val="3F01664D"/>
    <w:rsid w:val="3F175FC8"/>
    <w:rsid w:val="3FD010A5"/>
    <w:rsid w:val="40850DCD"/>
    <w:rsid w:val="41AC1D9C"/>
    <w:rsid w:val="4242619A"/>
    <w:rsid w:val="42B20782"/>
    <w:rsid w:val="44917C93"/>
    <w:rsid w:val="46D41E44"/>
    <w:rsid w:val="47AE2F53"/>
    <w:rsid w:val="496938E0"/>
    <w:rsid w:val="49882B35"/>
    <w:rsid w:val="4B3872E6"/>
    <w:rsid w:val="4CA149AE"/>
    <w:rsid w:val="4DF51404"/>
    <w:rsid w:val="4E5633F4"/>
    <w:rsid w:val="4E7740D9"/>
    <w:rsid w:val="4EAC0AFF"/>
    <w:rsid w:val="4EC2021D"/>
    <w:rsid w:val="50FD13B2"/>
    <w:rsid w:val="52FE30BB"/>
    <w:rsid w:val="536E79E7"/>
    <w:rsid w:val="54CE2507"/>
    <w:rsid w:val="55181CD2"/>
    <w:rsid w:val="55D01D97"/>
    <w:rsid w:val="57244B18"/>
    <w:rsid w:val="57EF6871"/>
    <w:rsid w:val="58240039"/>
    <w:rsid w:val="595A121E"/>
    <w:rsid w:val="59C75644"/>
    <w:rsid w:val="5AF07FF7"/>
    <w:rsid w:val="5AF422E5"/>
    <w:rsid w:val="5BF26431"/>
    <w:rsid w:val="5E780DEA"/>
    <w:rsid w:val="5F631FA8"/>
    <w:rsid w:val="65507243"/>
    <w:rsid w:val="656027FF"/>
    <w:rsid w:val="66457E51"/>
    <w:rsid w:val="6680376E"/>
    <w:rsid w:val="66ED31EA"/>
    <w:rsid w:val="691A3243"/>
    <w:rsid w:val="696C42BB"/>
    <w:rsid w:val="698A6B0F"/>
    <w:rsid w:val="6A782EAA"/>
    <w:rsid w:val="6B704279"/>
    <w:rsid w:val="6D020EA1"/>
    <w:rsid w:val="6E0F1211"/>
    <w:rsid w:val="6FBD0858"/>
    <w:rsid w:val="72E1752D"/>
    <w:rsid w:val="73A015C2"/>
    <w:rsid w:val="73A913CF"/>
    <w:rsid w:val="73EB1497"/>
    <w:rsid w:val="74000A47"/>
    <w:rsid w:val="74885606"/>
    <w:rsid w:val="751115BE"/>
    <w:rsid w:val="75740E00"/>
    <w:rsid w:val="763A080C"/>
    <w:rsid w:val="76EB5B39"/>
    <w:rsid w:val="776F4F23"/>
    <w:rsid w:val="78156E78"/>
    <w:rsid w:val="782D5EAF"/>
    <w:rsid w:val="789F1175"/>
    <w:rsid w:val="7931734A"/>
    <w:rsid w:val="7ADB38D4"/>
    <w:rsid w:val="7DD2691C"/>
    <w:rsid w:val="7E3563A1"/>
    <w:rsid w:val="7E9326F9"/>
    <w:rsid w:val="7EE20452"/>
    <w:rsid w:val="7F395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algun Gothic"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jc w:val="both"/>
      <w:textAlignment w:val="baseline"/>
    </w:pPr>
    <w:rPr>
      <w:rFonts w:ascii="Times New Roman" w:hAnsi="Times New Roman" w:eastAsia="宋体" w:cs="Times New Roman"/>
      <w:lang w:val="en-US" w:eastAsia="en-US" w:bidi="ar-SA"/>
    </w:rPr>
  </w:style>
  <w:style w:type="paragraph" w:styleId="2">
    <w:name w:val="heading 1"/>
    <w:next w:val="1"/>
    <w:link w:val="104"/>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36"/>
      <w:lang w:val="en-GB" w:eastAsia="en-US" w:bidi="ar-SA"/>
    </w:rPr>
  </w:style>
  <w:style w:type="paragraph" w:styleId="3">
    <w:name w:val="heading 2"/>
    <w:basedOn w:val="2"/>
    <w:next w:val="1"/>
    <w:link w:val="105"/>
    <w:qFormat/>
    <w:uiPriority w:val="0"/>
    <w:pPr>
      <w:numPr>
        <w:ilvl w:val="1"/>
      </w:numPr>
      <w:pBdr>
        <w:top w:val="none" w:color="auto" w:sz="0" w:space="0"/>
      </w:pBdr>
      <w:spacing w:before="180"/>
      <w:outlineLvl w:val="1"/>
    </w:pPr>
    <w:rPr>
      <w:sz w:val="32"/>
    </w:rPr>
  </w:style>
  <w:style w:type="paragraph" w:styleId="4">
    <w:name w:val="heading 3"/>
    <w:basedOn w:val="3"/>
    <w:next w:val="1"/>
    <w:link w:val="106"/>
    <w:qFormat/>
    <w:uiPriority w:val="0"/>
    <w:pPr>
      <w:numPr>
        <w:ilvl w:val="2"/>
      </w:numPr>
      <w:spacing w:before="120"/>
      <w:outlineLvl w:val="2"/>
    </w:pPr>
    <w:rPr>
      <w:sz w:val="28"/>
    </w:rPr>
  </w:style>
  <w:style w:type="paragraph" w:styleId="5">
    <w:name w:val="heading 4"/>
    <w:basedOn w:val="4"/>
    <w:next w:val="1"/>
    <w:link w:val="107"/>
    <w:qFormat/>
    <w:uiPriority w:val="0"/>
    <w:pPr>
      <w:numPr>
        <w:ilvl w:val="3"/>
      </w:numPr>
      <w:outlineLvl w:val="3"/>
    </w:pPr>
    <w:rPr>
      <w:sz w:val="24"/>
    </w:rPr>
  </w:style>
  <w:style w:type="paragraph" w:styleId="6">
    <w:name w:val="heading 5"/>
    <w:basedOn w:val="5"/>
    <w:next w:val="1"/>
    <w:link w:val="108"/>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0">
    <w:name w:val="Default Paragraph Font"/>
    <w:semiHidden/>
    <w:unhideWhenUsed/>
    <w:qFormat/>
    <w:uiPriority w:val="1"/>
  </w:style>
  <w:style w:type="table" w:default="1" w:styleId="58">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link w:val="118"/>
    <w:qFormat/>
    <w:uiPriority w:val="0"/>
    <w:rPr>
      <w:lang w:eastAsia="zh-CN"/>
    </w:rPr>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caption"/>
    <w:basedOn w:val="1"/>
    <w:next w:val="1"/>
    <w:link w:val="130"/>
    <w:qFormat/>
    <w:uiPriority w:val="0"/>
    <w:pPr>
      <w:spacing w:before="120" w:after="120"/>
    </w:pPr>
    <w:rPr>
      <w:b/>
      <w:bCs/>
    </w:rPr>
  </w:style>
  <w:style w:type="paragraph" w:styleId="31">
    <w:name w:val="Document Map"/>
    <w:basedOn w:val="1"/>
    <w:semiHidden/>
    <w:qFormat/>
    <w:uiPriority w:val="0"/>
    <w:pPr>
      <w:shd w:val="clear" w:color="auto" w:fill="000080"/>
    </w:pPr>
    <w:rPr>
      <w:rFonts w:ascii="Tahoma" w:hAnsi="Tahoma"/>
    </w:rPr>
  </w:style>
  <w:style w:type="paragraph" w:styleId="32">
    <w:name w:val="Body Text 3"/>
    <w:basedOn w:val="1"/>
    <w:qFormat/>
    <w:uiPriority w:val="0"/>
    <w:rPr>
      <w:i/>
    </w:rPr>
  </w:style>
  <w:style w:type="paragraph" w:styleId="33">
    <w:name w:val="Body Text"/>
    <w:basedOn w:val="1"/>
    <w:link w:val="128"/>
    <w:qFormat/>
    <w:uiPriority w:val="0"/>
    <w:pPr>
      <w:spacing w:after="120"/>
    </w:pPr>
    <w:rPr>
      <w:sz w:val="22"/>
      <w:szCs w:val="24"/>
    </w:rPr>
  </w:style>
  <w:style w:type="paragraph" w:styleId="34">
    <w:name w:val="Body Text Indent"/>
    <w:basedOn w:val="1"/>
    <w:qFormat/>
    <w:uiPriority w:val="0"/>
    <w:pPr>
      <w:spacing w:before="240" w:line="240" w:lineRule="exact"/>
      <w:ind w:firstLine="960" w:firstLineChars="400"/>
    </w:pPr>
    <w:rPr>
      <w:rFonts w:eastAsia="楷体_GB2312"/>
      <w:sz w:val="24"/>
    </w:rPr>
  </w:style>
  <w:style w:type="paragraph" w:styleId="35">
    <w:name w:val="List Bullet 5"/>
    <w:basedOn w:val="26"/>
    <w:qFormat/>
    <w:uiPriority w:val="0"/>
    <w:pPr>
      <w:ind w:left="1702"/>
    </w:pPr>
  </w:style>
  <w:style w:type="paragraph" w:styleId="36">
    <w:name w:val="toc 8"/>
    <w:basedOn w:val="23"/>
    <w:next w:val="1"/>
    <w:semiHidden/>
    <w:qFormat/>
    <w:uiPriority w:val="0"/>
    <w:pPr>
      <w:spacing w:before="180"/>
      <w:ind w:left="2693" w:hanging="2693"/>
    </w:pPr>
    <w:rPr>
      <w:b/>
    </w:rPr>
  </w:style>
  <w:style w:type="paragraph" w:styleId="37">
    <w:name w:val="Balloon Text"/>
    <w:basedOn w:val="1"/>
    <w:semiHidden/>
    <w:qFormat/>
    <w:uiPriority w:val="0"/>
    <w:rPr>
      <w:rFonts w:ascii="Tahoma" w:hAnsi="Tahoma" w:cs="Tahoma"/>
      <w:sz w:val="16"/>
      <w:szCs w:val="16"/>
    </w:rPr>
  </w:style>
  <w:style w:type="paragraph" w:styleId="38">
    <w:name w:val="footer"/>
    <w:basedOn w:val="39"/>
    <w:link w:val="127"/>
    <w:qFormat/>
    <w:uiPriority w:val="99"/>
    <w:pPr>
      <w:jc w:val="center"/>
    </w:pPr>
    <w:rPr>
      <w:i/>
    </w:rPr>
  </w:style>
  <w:style w:type="paragraph" w:styleId="39">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40">
    <w:name w:val="Subtitle"/>
    <w:basedOn w:val="1"/>
    <w:next w:val="1"/>
    <w:link w:val="116"/>
    <w:qFormat/>
    <w:uiPriority w:val="0"/>
    <w:pPr>
      <w:spacing w:after="60"/>
      <w:jc w:val="center"/>
      <w:outlineLvl w:val="1"/>
    </w:pPr>
    <w:rPr>
      <w:rFonts w:ascii="Cambria" w:hAnsi="Cambria"/>
      <w:sz w:val="24"/>
      <w:szCs w:val="24"/>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1"/>
    <w:next w:val="1"/>
    <w:unhideWhenUsed/>
    <w:qFormat/>
    <w:uiPriority w:val="99"/>
    <w:pPr>
      <w:spacing w:before="120" w:after="120"/>
    </w:pPr>
  </w:style>
  <w:style w:type="paragraph" w:styleId="45">
    <w:name w:val="toc 9"/>
    <w:basedOn w:val="36"/>
    <w:next w:val="1"/>
    <w:semiHidden/>
    <w:qFormat/>
    <w:uiPriority w:val="0"/>
    <w:pPr>
      <w:ind w:left="1418" w:hanging="1418"/>
    </w:pPr>
  </w:style>
  <w:style w:type="paragraph" w:styleId="46">
    <w:name w:val="Body Text 2"/>
    <w:basedOn w:val="1"/>
    <w:qFormat/>
    <w:uiPriority w:val="0"/>
    <w:pPr>
      <w:tabs>
        <w:tab w:val="left" w:pos="1985"/>
      </w:tabs>
      <w:spacing w:after="0"/>
    </w:pPr>
    <w:rPr>
      <w:rFonts w:ascii="Arial" w:hAnsi="Arial"/>
      <w:sz w:val="22"/>
    </w:rPr>
  </w:style>
  <w:style w:type="paragraph" w:styleId="47">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8">
    <w:name w:val="index 1"/>
    <w:basedOn w:val="1"/>
    <w:next w:val="1"/>
    <w:semiHidden/>
    <w:qFormat/>
    <w:uiPriority w:val="0"/>
    <w:pPr>
      <w:keepLines/>
      <w:spacing w:after="0"/>
    </w:pPr>
  </w:style>
  <w:style w:type="paragraph" w:styleId="49">
    <w:name w:val="index 2"/>
    <w:basedOn w:val="48"/>
    <w:next w:val="1"/>
    <w:semiHidden/>
    <w:qFormat/>
    <w:uiPriority w:val="0"/>
    <w:pPr>
      <w:ind w:left="284"/>
    </w:pPr>
  </w:style>
  <w:style w:type="character" w:styleId="51">
    <w:name w:val="Strong"/>
    <w:basedOn w:val="50"/>
    <w:qFormat/>
    <w:uiPriority w:val="0"/>
    <w:rPr>
      <w:b/>
      <w:bCs/>
    </w:rPr>
  </w:style>
  <w:style w:type="character" w:styleId="52">
    <w:name w:val="page number"/>
    <w:basedOn w:val="50"/>
    <w:qFormat/>
    <w:uiPriority w:val="0"/>
  </w:style>
  <w:style w:type="character" w:styleId="53">
    <w:name w:val="FollowedHyperlink"/>
    <w:basedOn w:val="50"/>
    <w:semiHidden/>
    <w:unhideWhenUsed/>
    <w:qFormat/>
    <w:uiPriority w:val="0"/>
    <w:rPr>
      <w:color w:val="954F72" w:themeColor="followedHyperlink"/>
      <w:u w:val="single"/>
      <w14:textFill>
        <w14:solidFill>
          <w14:schemeClr w14:val="folHlink"/>
        </w14:solidFill>
      </w14:textFill>
    </w:rPr>
  </w:style>
  <w:style w:type="character" w:styleId="54">
    <w:name w:val="Emphasis"/>
    <w:basedOn w:val="50"/>
    <w:qFormat/>
    <w:uiPriority w:val="0"/>
    <w:rPr>
      <w:i/>
      <w:iCs/>
    </w:rPr>
  </w:style>
  <w:style w:type="character" w:styleId="55">
    <w:name w:val="Hyperlink"/>
    <w:qFormat/>
    <w:uiPriority w:val="99"/>
    <w:rPr>
      <w:color w:val="0000FF"/>
      <w:u w:val="single"/>
    </w:rPr>
  </w:style>
  <w:style w:type="character" w:styleId="56">
    <w:name w:val="annotation reference"/>
    <w:semiHidden/>
    <w:qFormat/>
    <w:uiPriority w:val="0"/>
    <w:rPr>
      <w:sz w:val="16"/>
      <w:szCs w:val="16"/>
    </w:rPr>
  </w:style>
  <w:style w:type="character" w:styleId="57">
    <w:name w:val="footnote reference"/>
    <w:semiHidden/>
    <w:qFormat/>
    <w:uiPriority w:val="0"/>
    <w:rPr>
      <w:b/>
      <w:position w:val="6"/>
      <w:sz w:val="16"/>
    </w:rPr>
  </w:style>
  <w:style w:type="table" w:styleId="59">
    <w:name w:val="Table Grid"/>
    <w:basedOn w:val="58"/>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2">
    <w:name w:val="TT"/>
    <w:basedOn w:val="2"/>
    <w:next w:val="1"/>
    <w:qFormat/>
    <w:uiPriority w:val="0"/>
    <w:pPr>
      <w:outlineLvl w:val="9"/>
    </w:pPr>
  </w:style>
  <w:style w:type="paragraph" w:customStyle="1" w:styleId="63">
    <w:name w:val="TAH"/>
    <w:basedOn w:val="64"/>
    <w:qFormat/>
    <w:uiPriority w:val="0"/>
    <w:rPr>
      <w:b/>
    </w:rPr>
  </w:style>
  <w:style w:type="paragraph" w:customStyle="1" w:styleId="64">
    <w:name w:val="TAC"/>
    <w:basedOn w:val="65"/>
    <w:link w:val="123"/>
    <w:qFormat/>
    <w:uiPriority w:val="0"/>
    <w:pPr>
      <w:jc w:val="center"/>
    </w:pPr>
  </w:style>
  <w:style w:type="paragraph" w:customStyle="1" w:styleId="65">
    <w:name w:val="TAL"/>
    <w:basedOn w:val="1"/>
    <w:qFormat/>
    <w:uiPriority w:val="0"/>
    <w:pPr>
      <w:keepNext/>
      <w:keepLines/>
      <w:spacing w:after="0"/>
    </w:pPr>
    <w:rPr>
      <w:rFonts w:ascii="Arial" w:hAnsi="Arial"/>
      <w:sz w:val="18"/>
    </w:rPr>
  </w:style>
  <w:style w:type="paragraph" w:customStyle="1" w:styleId="66">
    <w:name w:val="TF"/>
    <w:basedOn w:val="67"/>
    <w:qFormat/>
    <w:uiPriority w:val="0"/>
    <w:pPr>
      <w:keepNext w:val="0"/>
      <w:spacing w:before="0" w:after="240"/>
    </w:pPr>
  </w:style>
  <w:style w:type="paragraph" w:customStyle="1" w:styleId="67">
    <w:name w:val="TH"/>
    <w:basedOn w:val="1"/>
    <w:link w:val="124"/>
    <w:qFormat/>
    <w:uiPriority w:val="0"/>
    <w:pPr>
      <w:keepNext/>
      <w:keepLines/>
      <w:spacing w:before="60"/>
      <w:jc w:val="center"/>
    </w:pPr>
    <w:rPr>
      <w:rFonts w:ascii="Arial" w:hAnsi="Arial"/>
      <w:b/>
    </w:rPr>
  </w:style>
  <w:style w:type="paragraph" w:customStyle="1" w:styleId="68">
    <w:name w:val="NO"/>
    <w:basedOn w:val="1"/>
    <w:link w:val="133"/>
    <w:qFormat/>
    <w:uiPriority w:val="0"/>
    <w:pPr>
      <w:keepLines/>
      <w:ind w:left="1135" w:hanging="851"/>
    </w:pPr>
  </w:style>
  <w:style w:type="paragraph" w:customStyle="1" w:styleId="69">
    <w:name w:val="EX"/>
    <w:basedOn w:val="1"/>
    <w:qFormat/>
    <w:uiPriority w:val="0"/>
    <w:pPr>
      <w:keepLines/>
      <w:ind w:left="1702" w:hanging="1418"/>
    </w:pPr>
  </w:style>
  <w:style w:type="paragraph" w:customStyle="1" w:styleId="70">
    <w:name w:val="FP"/>
    <w:basedOn w:val="1"/>
    <w:qFormat/>
    <w:uiPriority w:val="0"/>
    <w:pPr>
      <w:spacing w:after="0"/>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2">
    <w:name w:val="NW"/>
    <w:basedOn w:val="68"/>
    <w:qFormat/>
    <w:uiPriority w:val="0"/>
    <w:pPr>
      <w:spacing w:after="0"/>
    </w:pPr>
  </w:style>
  <w:style w:type="paragraph" w:customStyle="1" w:styleId="73">
    <w:name w:val="EW"/>
    <w:basedOn w:val="69"/>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6">
    <w:name w:val="Editor's Note"/>
    <w:basedOn w:val="68"/>
    <w:qFormat/>
    <w:uiPriority w:val="0"/>
    <w:rPr>
      <w:color w:val="FF0000"/>
    </w:rPr>
  </w:style>
  <w:style w:type="paragraph" w:customStyle="1" w:styleId="87">
    <w:name w:val="B1"/>
    <w:basedOn w:val="14"/>
    <w:link w:val="134"/>
    <w:qFormat/>
    <w:uiPriority w:val="0"/>
    <w:pPr>
      <w:ind w:left="284" w:firstLine="0"/>
    </w:pPr>
  </w:style>
  <w:style w:type="paragraph" w:customStyle="1" w:styleId="88">
    <w:name w:val="B2"/>
    <w:basedOn w:val="13"/>
    <w:link w:val="135"/>
    <w:qFormat/>
    <w:uiPriority w:val="0"/>
    <w:pPr>
      <w:ind w:left="567" w:firstLine="0"/>
    </w:pPr>
  </w:style>
  <w:style w:type="paragraph" w:customStyle="1" w:styleId="89">
    <w:name w:val="B3"/>
    <w:basedOn w:val="12"/>
    <w:qFormat/>
    <w:uiPriority w:val="0"/>
    <w:pPr>
      <w:ind w:left="851" w:firstLine="0"/>
    </w:pPr>
  </w:style>
  <w:style w:type="paragraph" w:customStyle="1" w:styleId="90">
    <w:name w:val="B4"/>
    <w:basedOn w:val="43"/>
    <w:qFormat/>
    <w:uiPriority w:val="0"/>
    <w:pPr>
      <w:ind w:left="1134" w:firstLine="0"/>
    </w:pPr>
  </w:style>
  <w:style w:type="paragraph" w:customStyle="1" w:styleId="91">
    <w:name w:val="B5"/>
    <w:basedOn w:val="42"/>
    <w:qFormat/>
    <w:uiPriority w:val="0"/>
    <w:pPr>
      <w:ind w:left="1418" w:firstLine="0"/>
    </w:pPr>
  </w:style>
  <w:style w:type="paragraph" w:customStyle="1" w:styleId="92">
    <w:name w:val="ZTD"/>
    <w:basedOn w:val="80"/>
    <w:qFormat/>
    <w:uiPriority w:val="0"/>
    <w:pPr>
      <w:framePr w:hRule="auto" w:y="852"/>
    </w:pPr>
    <w:rPr>
      <w:i w:val="0"/>
      <w:sz w:val="40"/>
    </w:rPr>
  </w:style>
  <w:style w:type="character" w:customStyle="1" w:styleId="93">
    <w:name w:val="MTEquationSection"/>
    <w:qFormat/>
    <w:uiPriority w:val="0"/>
    <w:rPr>
      <w:rFonts w:ascii="Arial" w:hAnsi="Arial"/>
      <w:color w:val="FF0000"/>
      <w:sz w:val="24"/>
    </w:rPr>
  </w:style>
  <w:style w:type="paragraph" w:customStyle="1" w:styleId="94">
    <w:name w:val="Bulleted o 1"/>
    <w:basedOn w:val="1"/>
    <w:qFormat/>
    <w:uiPriority w:val="0"/>
    <w:pPr>
      <w:numPr>
        <w:ilvl w:val="0"/>
        <w:numId w:val="2"/>
      </w:numPr>
    </w:pPr>
  </w:style>
  <w:style w:type="paragraph" w:customStyle="1" w:styleId="95">
    <w:name w:val="text"/>
    <w:basedOn w:val="1"/>
    <w:qFormat/>
    <w:uiPriority w:val="0"/>
    <w:pPr>
      <w:spacing w:after="240"/>
    </w:pPr>
    <w:rPr>
      <w:sz w:val="24"/>
      <w:lang w:eastAsia="zh-CN"/>
    </w:rPr>
  </w:style>
  <w:style w:type="paragraph" w:customStyle="1" w:styleId="96">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7">
    <w:name w:val="00 BodyText"/>
    <w:basedOn w:val="1"/>
    <w:qFormat/>
    <w:uiPriority w:val="0"/>
    <w:pPr>
      <w:spacing w:after="220"/>
    </w:pPr>
    <w:rPr>
      <w:rFonts w:ascii="Arial" w:hAnsi="Arial"/>
      <w:sz w:val="22"/>
    </w:rPr>
  </w:style>
  <w:style w:type="paragraph" w:customStyle="1" w:styleId="98">
    <w:name w:val="11 BodyText"/>
    <w:basedOn w:val="1"/>
    <w:qFormat/>
    <w:uiPriority w:val="0"/>
    <w:pPr>
      <w:spacing w:after="220"/>
      <w:ind w:left="1298"/>
    </w:pPr>
    <w:rPr>
      <w:rFonts w:ascii="Arial" w:hAnsi="Arial"/>
      <w:sz w:val="22"/>
    </w:rPr>
  </w:style>
  <w:style w:type="paragraph" w:customStyle="1" w:styleId="99">
    <w:name w:val="table"/>
    <w:basedOn w:val="95"/>
    <w:next w:val="95"/>
    <w:qFormat/>
    <w:uiPriority w:val="0"/>
    <w:pPr>
      <w:spacing w:after="0"/>
      <w:jc w:val="center"/>
    </w:pPr>
    <w:rPr>
      <w:sz w:val="20"/>
    </w:rPr>
  </w:style>
  <w:style w:type="paragraph" w:customStyle="1" w:styleId="100">
    <w:name w:val="body Char Char Char"/>
    <w:basedOn w:val="1"/>
    <w:qFormat/>
    <w:uiPriority w:val="0"/>
    <w:pPr>
      <w:tabs>
        <w:tab w:val="left" w:pos="2160"/>
      </w:tabs>
      <w:spacing w:before="120" w:after="120" w:line="280" w:lineRule="atLeast"/>
    </w:pPr>
    <w:rPr>
      <w:rFonts w:ascii="New York" w:hAnsi="New York"/>
      <w:sz w:val="24"/>
    </w:rPr>
  </w:style>
  <w:style w:type="character" w:customStyle="1" w:styleId="101">
    <w:name w:val="Heading 1 Char"/>
    <w:qFormat/>
    <w:uiPriority w:val="0"/>
    <w:rPr>
      <w:rFonts w:ascii="Arial" w:hAnsi="Arial"/>
      <w:sz w:val="36"/>
      <w:lang w:val="en-GB" w:eastAsia="en-US" w:bidi="ar-SA"/>
    </w:rPr>
  </w:style>
  <w:style w:type="paragraph" w:customStyle="1" w:styleId="102">
    <w:name w:val="body"/>
    <w:basedOn w:val="1"/>
    <w:qFormat/>
    <w:uiPriority w:val="0"/>
    <w:pPr>
      <w:tabs>
        <w:tab w:val="left" w:pos="2160"/>
      </w:tabs>
      <w:spacing w:before="120" w:after="120" w:line="280" w:lineRule="atLeast"/>
    </w:pPr>
    <w:rPr>
      <w:rFonts w:ascii="New York" w:hAnsi="New York"/>
      <w:sz w:val="24"/>
    </w:rPr>
  </w:style>
  <w:style w:type="paragraph" w:customStyle="1" w:styleId="103">
    <w:name w:val="CR Cover Page"/>
    <w:qFormat/>
    <w:uiPriority w:val="0"/>
    <w:pPr>
      <w:spacing w:after="120"/>
    </w:pPr>
    <w:rPr>
      <w:rFonts w:ascii="Arial" w:hAnsi="Arial" w:eastAsia="MS Mincho" w:cs="Times New Roman"/>
      <w:lang w:val="en-GB" w:eastAsia="en-US" w:bidi="ar-SA"/>
    </w:rPr>
  </w:style>
  <w:style w:type="character" w:customStyle="1" w:styleId="104">
    <w:name w:val="Heading 1 Char1"/>
    <w:link w:val="2"/>
    <w:qFormat/>
    <w:uiPriority w:val="0"/>
    <w:rPr>
      <w:rFonts w:ascii="Arial" w:hAnsi="Arial"/>
      <w:sz w:val="36"/>
      <w:lang w:val="en-GB" w:eastAsia="en-US"/>
    </w:rPr>
  </w:style>
  <w:style w:type="character" w:customStyle="1" w:styleId="105">
    <w:name w:val="Heading 2 Char"/>
    <w:link w:val="3"/>
    <w:qFormat/>
    <w:uiPriority w:val="0"/>
    <w:rPr>
      <w:rFonts w:ascii="Arial" w:hAnsi="Arial"/>
      <w:sz w:val="32"/>
      <w:lang w:val="en-GB" w:eastAsia="en-US"/>
    </w:rPr>
  </w:style>
  <w:style w:type="character" w:customStyle="1" w:styleId="106">
    <w:name w:val="Heading 3 Char"/>
    <w:link w:val="4"/>
    <w:qFormat/>
    <w:uiPriority w:val="0"/>
    <w:rPr>
      <w:rFonts w:ascii="Arial" w:hAnsi="Arial"/>
      <w:sz w:val="28"/>
      <w:lang w:val="en-GB" w:eastAsia="en-US"/>
    </w:rPr>
  </w:style>
  <w:style w:type="character" w:customStyle="1" w:styleId="107">
    <w:name w:val="Heading 4 Char"/>
    <w:link w:val="5"/>
    <w:qFormat/>
    <w:uiPriority w:val="0"/>
    <w:rPr>
      <w:rFonts w:ascii="Arial" w:hAnsi="Arial"/>
      <w:sz w:val="24"/>
      <w:lang w:val="en-GB" w:eastAsia="en-US"/>
    </w:rPr>
  </w:style>
  <w:style w:type="character" w:customStyle="1" w:styleId="108">
    <w:name w:val="Heading 5 Char"/>
    <w:link w:val="6"/>
    <w:qFormat/>
    <w:uiPriority w:val="0"/>
    <w:rPr>
      <w:rFonts w:ascii="Arial" w:hAnsi="Arial"/>
      <w:sz w:val="22"/>
      <w:lang w:val="en-GB" w:eastAsia="en-US"/>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3"/>
      </w:numPr>
      <w:overflowPunct/>
      <w:autoSpaceDE/>
      <w:autoSpaceDN/>
      <w:adjustRightInd/>
      <w:spacing w:after="120"/>
      <w:textAlignment w:val="auto"/>
    </w:pPr>
    <w:rPr>
      <w:rFonts w:eastAsia="Calibri"/>
      <w:szCs w:val="22"/>
      <w:lang w:val="en-GB"/>
    </w:rPr>
  </w:style>
  <w:style w:type="paragraph" w:customStyle="1" w:styleId="115">
    <w:name w:val="Reference"/>
    <w:basedOn w:val="69"/>
    <w:qFormat/>
    <w:uiPriority w:val="0"/>
    <w:pPr>
      <w:tabs>
        <w:tab w:val="left" w:pos="360"/>
      </w:tabs>
      <w:suppressAutoHyphens/>
      <w:autoSpaceDN/>
      <w:adjustRightInd/>
      <w:ind w:left="0" w:firstLine="0"/>
    </w:pPr>
    <w:rPr>
      <w:lang w:eastAsia="ar-SA"/>
    </w:rPr>
  </w:style>
  <w:style w:type="character" w:customStyle="1" w:styleId="116">
    <w:name w:val="Subtitle Char"/>
    <w:link w:val="40"/>
    <w:qFormat/>
    <w:uiPriority w:val="0"/>
    <w:rPr>
      <w:rFonts w:ascii="Cambria" w:hAnsi="Cambria" w:eastAsia="Times New Roman" w:cs="Times New Roman"/>
      <w:sz w:val="24"/>
      <w:szCs w:val="24"/>
      <w:lang w:val="en-GB"/>
    </w:rPr>
  </w:style>
  <w:style w:type="paragraph" w:customStyle="1" w:styleId="117">
    <w:name w:val="修订1"/>
    <w:hidden/>
    <w:semiHidden/>
    <w:qFormat/>
    <w:uiPriority w:val="99"/>
    <w:rPr>
      <w:rFonts w:ascii="Times New Roman" w:hAnsi="Times New Roman" w:eastAsia="宋体" w:cs="Times New Roman"/>
      <w:lang w:val="en-GB" w:eastAsia="en-US" w:bidi="ar-SA"/>
    </w:rPr>
  </w:style>
  <w:style w:type="character" w:customStyle="1" w:styleId="118">
    <w:name w:val="Comment Text Char"/>
    <w:link w:val="16"/>
    <w:qFormat/>
    <w:uiPriority w:val="0"/>
    <w:rPr>
      <w:rFonts w:ascii="Times New Roman" w:hAnsi="Times New Roman"/>
      <w:lang w:val="en-GB"/>
    </w:rPr>
  </w:style>
  <w:style w:type="paragraph" w:customStyle="1" w:styleId="119">
    <w:name w:val="LGTdoc_본문"/>
    <w:basedOn w:val="1"/>
    <w:qFormat/>
    <w:uiPriority w:val="0"/>
    <w:pPr>
      <w:widowControl w:val="0"/>
      <w:overflowPunct/>
      <w:snapToGrid w:val="0"/>
      <w:spacing w:after="0"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4"/>
    <w:qFormat/>
    <w:uiPriority w:val="0"/>
    <w:rPr>
      <w:rFonts w:ascii="Arial" w:hAnsi="Arial"/>
      <w:sz w:val="18"/>
      <w:lang w:val="en-GB" w:eastAsia="en-US"/>
    </w:rPr>
  </w:style>
  <w:style w:type="character" w:customStyle="1" w:styleId="124">
    <w:name w:val="TH Char"/>
    <w:link w:val="67"/>
    <w:qFormat/>
    <w:uiPriority w:val="0"/>
    <w:rPr>
      <w:rFonts w:ascii="Arial" w:hAnsi="Arial"/>
      <w:b/>
      <w:lang w:val="en-GB" w:eastAsia="en-US"/>
    </w:rPr>
  </w:style>
  <w:style w:type="character" w:customStyle="1" w:styleId="125">
    <w:name w:val="List Paragraph Char"/>
    <w:link w:val="114"/>
    <w:qFormat/>
    <w:locked/>
    <w:uiPriority w:val="34"/>
    <w:rPr>
      <w:rFonts w:ascii="Times New Roman" w:hAnsi="Times New Roman" w:eastAsia="Calibri"/>
      <w:szCs w:val="22"/>
      <w:lang w:val="en-GB" w:eastAsia="en-US"/>
    </w:rPr>
  </w:style>
  <w:style w:type="paragraph" w:customStyle="1" w:styleId="126">
    <w:name w:val="References"/>
    <w:basedOn w:val="1"/>
    <w:qFormat/>
    <w:uiPriority w:val="0"/>
    <w:pPr>
      <w:numPr>
        <w:ilvl w:val="0"/>
        <w:numId w:val="4"/>
      </w:numPr>
      <w:overflowPunct/>
      <w:adjustRightInd/>
      <w:snapToGrid w:val="0"/>
      <w:spacing w:after="60"/>
      <w:textAlignment w:val="auto"/>
    </w:pPr>
    <w:rPr>
      <w:szCs w:val="16"/>
    </w:rPr>
  </w:style>
  <w:style w:type="character" w:customStyle="1" w:styleId="127">
    <w:name w:val="Footer Char"/>
    <w:basedOn w:val="50"/>
    <w:link w:val="38"/>
    <w:qFormat/>
    <w:uiPriority w:val="99"/>
    <w:rPr>
      <w:rFonts w:ascii="Arial" w:hAnsi="Arial"/>
      <w:b/>
      <w:i/>
      <w:sz w:val="18"/>
      <w:lang w:eastAsia="en-US"/>
    </w:rPr>
  </w:style>
  <w:style w:type="character" w:customStyle="1" w:styleId="128">
    <w:name w:val="Body Text Char"/>
    <w:basedOn w:val="50"/>
    <w:link w:val="33"/>
    <w:qFormat/>
    <w:uiPriority w:val="0"/>
    <w:rPr>
      <w:sz w:val="22"/>
      <w:szCs w:val="24"/>
      <w:lang w:eastAsia="en-US"/>
    </w:rPr>
  </w:style>
  <w:style w:type="table" w:customStyle="1" w:styleId="129">
    <w:name w:val="网格表 4 - 着色 11"/>
    <w:basedOn w:val="58"/>
    <w:qFormat/>
    <w:uiPriority w:val="49"/>
    <w:rPr>
      <w:rFonts w:eastAsiaTheme="minorHAnsi"/>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Caption Char"/>
    <w:link w:val="30"/>
    <w:qFormat/>
    <w:uiPriority w:val="99"/>
    <w:rPr>
      <w:rFonts w:ascii="Times New Roman" w:hAnsi="Times New Roman"/>
      <w:b/>
      <w:bCs/>
      <w:lang w:eastAsia="en-US"/>
    </w:rPr>
  </w:style>
  <w:style w:type="paragraph" w:customStyle="1" w:styleId="131">
    <w:name w:val="Proposal"/>
    <w:basedOn w:val="1"/>
    <w:link w:val="132"/>
    <w:qFormat/>
    <w:uiPriority w:val="0"/>
    <w:pPr>
      <w:numPr>
        <w:ilvl w:val="0"/>
        <w:numId w:val="5"/>
      </w:numPr>
      <w:tabs>
        <w:tab w:val="left" w:pos="1152"/>
      </w:tabs>
      <w:spacing w:before="240" w:after="240"/>
    </w:pPr>
    <w:rPr>
      <w:rFonts w:eastAsia="MS Mincho"/>
      <w:i/>
      <w:lang w:eastAsia="ja-JP"/>
    </w:rPr>
  </w:style>
  <w:style w:type="character" w:customStyle="1" w:styleId="132">
    <w:name w:val="Proposal Char"/>
    <w:basedOn w:val="50"/>
    <w:link w:val="131"/>
    <w:qFormat/>
    <w:uiPriority w:val="0"/>
    <w:rPr>
      <w:rFonts w:eastAsia="MS Mincho"/>
      <w:i/>
      <w:lang w:eastAsia="ja-JP"/>
    </w:rPr>
  </w:style>
  <w:style w:type="character" w:customStyle="1" w:styleId="133">
    <w:name w:val="NO Char"/>
    <w:basedOn w:val="50"/>
    <w:link w:val="68"/>
    <w:qFormat/>
    <w:locked/>
    <w:uiPriority w:val="0"/>
    <w:rPr>
      <w:rFonts w:ascii="Times New Roman" w:hAnsi="Times New Roman"/>
      <w:lang w:eastAsia="en-US"/>
    </w:rPr>
  </w:style>
  <w:style w:type="character" w:customStyle="1" w:styleId="134">
    <w:name w:val="B1 Char1"/>
    <w:basedOn w:val="50"/>
    <w:link w:val="87"/>
    <w:qFormat/>
    <w:locked/>
    <w:uiPriority w:val="0"/>
    <w:rPr>
      <w:lang w:eastAsia="en-US"/>
    </w:rPr>
  </w:style>
  <w:style w:type="character" w:customStyle="1" w:styleId="135">
    <w:name w:val="B2 Char"/>
    <w:basedOn w:val="50"/>
    <w:link w:val="88"/>
    <w:qFormat/>
    <w:locked/>
    <w:uiPriority w:val="0"/>
    <w:rPr>
      <w:lang w:eastAsia="en-US"/>
    </w:rPr>
  </w:style>
  <w:style w:type="character" w:customStyle="1" w:styleId="136">
    <w:name w:val="明显强调1"/>
    <w:basedOn w:val="50"/>
    <w:qFormat/>
    <w:uiPriority w:val="21"/>
    <w:rPr>
      <w:i/>
      <w:iCs/>
      <w:color w:val="5B9BD5" w:themeColor="accent1"/>
      <w14:textFill>
        <w14:solidFill>
          <w14:schemeClr w14:val="accent1"/>
        </w14:solidFill>
      </w14:textFill>
    </w:rPr>
  </w:style>
  <w:style w:type="character" w:customStyle="1" w:styleId="137">
    <w:name w:val="不明显强调1"/>
    <w:basedOn w:val="50"/>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6"/>
      </w:numPr>
      <w:jc w:val="center"/>
    </w:pPr>
  </w:style>
  <w:style w:type="paragraph" w:customStyle="1" w:styleId="139">
    <w:name w:val="Table"/>
    <w:basedOn w:val="138"/>
    <w:link w:val="142"/>
    <w:qFormat/>
    <w:uiPriority w:val="0"/>
    <w:pPr>
      <w:numPr>
        <w:numId w:val="7"/>
      </w:numPr>
    </w:pPr>
  </w:style>
  <w:style w:type="character" w:customStyle="1" w:styleId="140">
    <w:name w:val="Figure Char"/>
    <w:basedOn w:val="50"/>
    <w:link w:val="138"/>
    <w:qFormat/>
    <w:uiPriority w:val="0"/>
    <w:rPr>
      <w:rFonts w:ascii="Times New Roman" w:hAnsi="Times New Roman"/>
      <w:lang w:eastAsia="en-US"/>
    </w:rPr>
  </w:style>
  <w:style w:type="paragraph" w:customStyle="1" w:styleId="141">
    <w:name w:val="Observation"/>
    <w:basedOn w:val="131"/>
    <w:link w:val="143"/>
    <w:qFormat/>
    <w:uiPriority w:val="0"/>
    <w:pPr>
      <w:numPr>
        <w:ilvl w:val="0"/>
        <w:numId w:val="8"/>
      </w:numPr>
      <w:ind w:left="0" w:firstLine="0"/>
    </w:pPr>
  </w:style>
  <w:style w:type="character" w:customStyle="1" w:styleId="142">
    <w:name w:val="Table Char"/>
    <w:basedOn w:val="140"/>
    <w:link w:val="139"/>
    <w:qFormat/>
    <w:uiPriority w:val="0"/>
    <w:rPr>
      <w:rFonts w:ascii="Times New Roman" w:hAnsi="Times New Roman"/>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8"/>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8"/>
    <w:semiHidden/>
    <w:qFormat/>
    <w:uiPriority w:val="0"/>
    <w:rPr>
      <w:rFonts w:eastAsia="CG Times (WN)"/>
    </w:rPr>
    <w:tblPr>
      <w:tblLayout w:type="fixed"/>
      <w:tblCellMar>
        <w:top w:w="0" w:type="dxa"/>
        <w:left w:w="108" w:type="dxa"/>
        <w:bottom w:w="0" w:type="dxa"/>
        <w:right w:w="108" w:type="dxa"/>
      </w:tblCellMar>
    </w:tblPr>
  </w:style>
  <w:style w:type="character" w:customStyle="1" w:styleId="146">
    <w:name w:val="Subtle Emphasis1"/>
    <w:basedOn w:val="50"/>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0"/>
    <w:qFormat/>
    <w:uiPriority w:val="21"/>
    <w:rPr>
      <w:i/>
      <w:iCs/>
      <w:color w:val="5B9BD5" w:themeColor="accent1"/>
      <w14:textFill>
        <w14:solidFill>
          <w14:schemeClr w14:val="accent1"/>
        </w14:solidFill>
      </w14:textFill>
    </w:rPr>
  </w:style>
  <w:style w:type="character" w:customStyle="1" w:styleId="148">
    <w:name w:val="Subtle Reference1"/>
    <w:basedOn w:val="50"/>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0"/>
    <w:qFormat/>
    <w:uiPriority w:val="33"/>
    <w:rPr>
      <w:b/>
      <w:bCs/>
      <w:i/>
      <w:iCs/>
      <w:spacing w:val="5"/>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6.xml"/><Relationship Id="rId15" Type="http://schemas.openxmlformats.org/officeDocument/2006/relationships/customXml" Target="../customXml/item5.xml"/><Relationship Id="rId14" Type="http://schemas.openxmlformats.org/officeDocument/2006/relationships/customXml" Target="../customXml/item4.xml"/><Relationship Id="rId13" Type="http://schemas.openxmlformats.org/officeDocument/2006/relationships/customXml" Target="../customXml/item3.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847F99D-A0ED-44C6-83A4-73D1E886409C}">
  <ds:schemaRefs/>
</ds:datastoreItem>
</file>

<file path=customXml/itemProps3.xml><?xml version="1.0" encoding="utf-8"?>
<ds:datastoreItem xmlns:ds="http://schemas.openxmlformats.org/officeDocument/2006/customXml" ds:itemID="{04BF5348-08CE-46A2-B6C7-D667930F0DC1}">
  <ds:schemaRefs/>
</ds:datastoreItem>
</file>

<file path=customXml/itemProps4.xml><?xml version="1.0" encoding="utf-8"?>
<ds:datastoreItem xmlns:ds="http://schemas.openxmlformats.org/officeDocument/2006/customXml" ds:itemID="{DE437376-A7B6-47B7-A9FE-9D6C62534131}">
  <ds:schemaRefs/>
</ds:datastoreItem>
</file>

<file path=customXml/itemProps5.xml><?xml version="1.0" encoding="utf-8"?>
<ds:datastoreItem xmlns:ds="http://schemas.openxmlformats.org/officeDocument/2006/customXml" ds:itemID="{9C2FF60E-EDDE-47F2-966E-A40547D413B7}">
  <ds:schemaRefs/>
</ds:datastoreItem>
</file>

<file path=customXml/itemProps6.xml><?xml version="1.0" encoding="utf-8"?>
<ds:datastoreItem xmlns:ds="http://schemas.openxmlformats.org/officeDocument/2006/customXml" ds:itemID="{4F156B33-FE54-4BF7-8206-606715473FFD}">
  <ds:schemaRefs/>
</ds:datastoreItem>
</file>

<file path=docProps/app.xml><?xml version="1.0" encoding="utf-8"?>
<Properties xmlns="http://schemas.openxmlformats.org/officeDocument/2006/extended-properties" xmlns:vt="http://schemas.openxmlformats.org/officeDocument/2006/docPropsVTypes">
  <Template>3gpp_70.dot</Template>
  <Company>ZTE Corporation</Company>
  <Pages>7</Pages>
  <Words>3195</Words>
  <Characters>18213</Characters>
  <Lines>151</Lines>
  <Paragraphs>42</Paragraphs>
  <TotalTime>12</TotalTime>
  <ScaleCrop>false</ScaleCrop>
  <LinksUpToDate>false</LinksUpToDate>
  <CharactersWithSpaces>21366</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2019-10-03T09:41:00Z</dcterms:created>
  <dc:creator>ZTE Corporation</dc:creator>
  <cp:lastModifiedBy>ZTE</cp:lastModifiedBy>
  <cp:lastPrinted>2018-04-07T03:05:00Z</cp:lastPrinted>
  <dcterms:modified xsi:type="dcterms:W3CDTF">2019-10-05T01:17:59Z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2052-10.8.2.7027</vt:lpwstr>
  </property>
</Properties>
</file>